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C1D" w:rsidRDefault="00FA5360">
      <w:pPr>
        <w:spacing w:before="120" w:after="120"/>
        <w:jc w:val="center"/>
      </w:pPr>
      <w:r>
        <w:rPr>
          <w:noProof/>
        </w:rPr>
        <w:drawing>
          <wp:anchor distT="0" distB="0" distL="114300" distR="114300" simplePos="0" relativeHeight="251662336" behindDoc="0" locked="0" layoutInCell="1" hidden="0" allowOverlap="1" wp14:anchorId="5F56F002" wp14:editId="25425837">
            <wp:simplePos x="0" y="0"/>
            <wp:positionH relativeFrom="column">
              <wp:posOffset>6121399</wp:posOffset>
            </wp:positionH>
            <wp:positionV relativeFrom="paragraph">
              <wp:posOffset>358140</wp:posOffset>
            </wp:positionV>
            <wp:extent cx="352959" cy="934720"/>
            <wp:effectExtent l="0" t="0" r="9525" b="0"/>
            <wp:wrapTopAndBottom distT="0" distB="0"/>
            <wp:docPr id="2" name="image2.png" descr="cbf1c2b960f3577349323e830f5f75ec.png"/>
            <wp:cNvGraphicFramePr/>
            <a:graphic xmlns:a="http://schemas.openxmlformats.org/drawingml/2006/main">
              <a:graphicData uri="http://schemas.openxmlformats.org/drawingml/2006/picture">
                <pic:pic xmlns:pic="http://schemas.openxmlformats.org/drawingml/2006/picture">
                  <pic:nvPicPr>
                    <pic:cNvPr id="0" name="image2.png" descr="cbf1c2b960f3577349323e830f5f75ec.png"/>
                    <pic:cNvPicPr preferRelativeResize="0"/>
                  </pic:nvPicPr>
                  <pic:blipFill rotWithShape="1">
                    <a:blip r:embed="rId6"/>
                    <a:srcRect l="95332"/>
                    <a:stretch/>
                  </pic:blipFill>
                  <pic:spPr bwMode="auto">
                    <a:xfrm>
                      <a:off x="0" y="0"/>
                      <a:ext cx="353053" cy="9349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0288" behindDoc="0" locked="0" layoutInCell="1" hidden="0" allowOverlap="1" wp14:anchorId="5F56F002" wp14:editId="25425837">
            <wp:simplePos x="0" y="0"/>
            <wp:positionH relativeFrom="page">
              <wp:posOffset>2886075</wp:posOffset>
            </wp:positionH>
            <wp:positionV relativeFrom="paragraph">
              <wp:posOffset>358140</wp:posOffset>
            </wp:positionV>
            <wp:extent cx="4321810" cy="934720"/>
            <wp:effectExtent l="0" t="0" r="2540" b="0"/>
            <wp:wrapTopAndBottom distT="0" distB="0"/>
            <wp:docPr id="1" name="image2.png" descr="cbf1c2b960f3577349323e830f5f75ec.png"/>
            <wp:cNvGraphicFramePr/>
            <a:graphic xmlns:a="http://schemas.openxmlformats.org/drawingml/2006/main">
              <a:graphicData uri="http://schemas.openxmlformats.org/drawingml/2006/picture">
                <pic:pic xmlns:pic="http://schemas.openxmlformats.org/drawingml/2006/picture">
                  <pic:nvPicPr>
                    <pic:cNvPr id="0" name="image2.png" descr="cbf1c2b960f3577349323e830f5f75ec.png"/>
                    <pic:cNvPicPr preferRelativeResize="0"/>
                  </pic:nvPicPr>
                  <pic:blipFill rotWithShape="1">
                    <a:blip r:embed="rId6"/>
                    <a:srcRect l="42832"/>
                    <a:stretch/>
                  </pic:blipFill>
                  <pic:spPr bwMode="auto">
                    <a:xfrm>
                      <a:off x="0" y="0"/>
                      <a:ext cx="432181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0" behindDoc="0" locked="0" layoutInCell="1" hidden="0" allowOverlap="1">
            <wp:simplePos x="0" y="0"/>
            <wp:positionH relativeFrom="column">
              <wp:posOffset>-1080135</wp:posOffset>
            </wp:positionH>
            <wp:positionV relativeFrom="paragraph">
              <wp:posOffset>358140</wp:posOffset>
            </wp:positionV>
            <wp:extent cx="2886075" cy="934720"/>
            <wp:effectExtent l="0" t="0" r="9525" b="0"/>
            <wp:wrapTopAndBottom distT="0" distB="0"/>
            <wp:docPr id="5" name="image2.png" descr="cbf1c2b960f3577349323e830f5f75ec.png"/>
            <wp:cNvGraphicFramePr/>
            <a:graphic xmlns:a="http://schemas.openxmlformats.org/drawingml/2006/main">
              <a:graphicData uri="http://schemas.openxmlformats.org/drawingml/2006/picture">
                <pic:pic xmlns:pic="http://schemas.openxmlformats.org/drawingml/2006/picture">
                  <pic:nvPicPr>
                    <pic:cNvPr id="0" name="image2.png" descr="cbf1c2b960f3577349323e830f5f75ec.png"/>
                    <pic:cNvPicPr preferRelativeResize="0"/>
                  </pic:nvPicPr>
                  <pic:blipFill rotWithShape="1">
                    <a:blip r:embed="rId6"/>
                    <a:srcRect r="61829"/>
                    <a:stretch/>
                  </pic:blipFill>
                  <pic:spPr bwMode="auto">
                    <a:xfrm>
                      <a:off x="0" y="0"/>
                      <a:ext cx="2886075"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814C1D" w:rsidRDefault="00FA5360">
      <w:pPr>
        <w:spacing w:before="120" w:after="120"/>
        <w:rPr>
          <w:rFonts w:ascii="Arial Narrow" w:eastAsia="Arial Narrow" w:hAnsi="Arial Narrow" w:cs="Arial Narrow"/>
          <w:b/>
          <w:color w:val="00B176"/>
          <w:sz w:val="56"/>
          <w:szCs w:val="56"/>
        </w:rPr>
      </w:pPr>
      <w:r>
        <w:rPr>
          <w:noProof/>
        </w:rPr>
        <w:drawing>
          <wp:inline distT="0" distB="0" distL="0" distR="0">
            <wp:extent cx="2663190" cy="1057275"/>
            <wp:effectExtent l="0" t="0" r="0" b="0"/>
            <wp:docPr id="6" name="image3.png" descr="5512bd2881ddb998cf3716d132bda449.png"/>
            <wp:cNvGraphicFramePr/>
            <a:graphic xmlns:a="http://schemas.openxmlformats.org/drawingml/2006/main">
              <a:graphicData uri="http://schemas.openxmlformats.org/drawingml/2006/picture">
                <pic:pic xmlns:pic="http://schemas.openxmlformats.org/drawingml/2006/picture">
                  <pic:nvPicPr>
                    <pic:cNvPr id="0" name="image3.png" descr="5512bd2881ddb998cf3716d132bda449.png"/>
                    <pic:cNvPicPr preferRelativeResize="0"/>
                  </pic:nvPicPr>
                  <pic:blipFill>
                    <a:blip r:embed="rId7"/>
                    <a:srcRect l="19877" t="24302" r="13550" b="7171"/>
                    <a:stretch>
                      <a:fillRect/>
                    </a:stretch>
                  </pic:blipFill>
                  <pic:spPr>
                    <a:xfrm>
                      <a:off x="0" y="0"/>
                      <a:ext cx="2663190" cy="1057275"/>
                    </a:xfrm>
                    <a:prstGeom prst="rect">
                      <a:avLst/>
                    </a:prstGeom>
                    <a:ln/>
                  </pic:spPr>
                </pic:pic>
              </a:graphicData>
            </a:graphic>
          </wp:inline>
        </w:drawing>
      </w:r>
    </w:p>
    <w:p w:rsidR="00814C1D" w:rsidRDefault="00FA5360">
      <w:pPr>
        <w:spacing w:before="120" w:after="120" w:line="240" w:lineRule="auto"/>
        <w:rPr>
          <w:color w:val="666666"/>
          <w:sz w:val="50"/>
          <w:szCs w:val="50"/>
        </w:rPr>
      </w:pPr>
      <w:r>
        <w:rPr>
          <w:b/>
          <w:color w:val="666666"/>
          <w:sz w:val="50"/>
          <w:szCs w:val="50"/>
        </w:rPr>
        <w:t xml:space="preserve">Guía académica </w:t>
      </w:r>
    </w:p>
    <w:p w:rsidR="00814C1D" w:rsidRDefault="00FA5360">
      <w:pPr>
        <w:spacing w:before="120" w:after="120" w:line="240" w:lineRule="auto"/>
        <w:rPr>
          <w:color w:val="E69138"/>
          <w:sz w:val="50"/>
          <w:szCs w:val="50"/>
        </w:rPr>
      </w:pPr>
      <w:bookmarkStart w:id="0" w:name="_heading=h.gjdgxs" w:colFirst="0" w:colLast="0"/>
      <w:bookmarkEnd w:id="0"/>
      <w:r>
        <w:rPr>
          <w:b/>
          <w:color w:val="666666"/>
          <w:sz w:val="50"/>
          <w:szCs w:val="50"/>
        </w:rPr>
        <w:t xml:space="preserve">Definición de la Formación Profesional Integral FPI, de los programas académicos de pregrado </w:t>
      </w:r>
      <w:r>
        <w:rPr>
          <w:b/>
          <w:color w:val="E69138"/>
          <w:sz w:val="50"/>
          <w:szCs w:val="50"/>
        </w:rPr>
        <w:t xml:space="preserve"> </w:t>
      </w:r>
    </w:p>
    <w:p w:rsidR="00814C1D" w:rsidRDefault="00814C1D">
      <w:pPr>
        <w:spacing w:before="120" w:after="120" w:line="336" w:lineRule="auto"/>
        <w:jc w:val="both"/>
        <w:rPr>
          <w:sz w:val="24"/>
          <w:szCs w:val="24"/>
        </w:rPr>
      </w:pPr>
    </w:p>
    <w:p w:rsidR="00814C1D" w:rsidRDefault="00FA5360">
      <w:pPr>
        <w:spacing w:before="120" w:after="120" w:line="336" w:lineRule="auto"/>
        <w:jc w:val="both"/>
        <w:rPr>
          <w:color w:val="000000"/>
          <w:sz w:val="24"/>
          <w:szCs w:val="24"/>
        </w:rPr>
      </w:pPr>
      <w:r>
        <w:rPr>
          <w:color w:val="000000"/>
          <w:sz w:val="24"/>
          <w:szCs w:val="24"/>
        </w:rPr>
        <w:t>Esta guía tiene como objetivo facilitar a los programas académicos de pregrado la reflexión y definición de la formación integral en las propuestas curriculares, de acuerdo con lo establecido en la política académica curricular (Acuerdo 044 de 2020).</w:t>
      </w:r>
    </w:p>
    <w:p w:rsidR="00814C1D" w:rsidRDefault="00FA5360">
      <w:pPr>
        <w:spacing w:before="120" w:after="120" w:line="336" w:lineRule="auto"/>
        <w:jc w:val="both"/>
        <w:rPr>
          <w:color w:val="000000"/>
          <w:sz w:val="24"/>
          <w:szCs w:val="24"/>
        </w:rPr>
      </w:pPr>
      <w:r>
        <w:rPr>
          <w:color w:val="000000"/>
          <w:sz w:val="24"/>
          <w:szCs w:val="24"/>
        </w:rPr>
        <w:t>En la</w:t>
      </w:r>
      <w:r>
        <w:rPr>
          <w:color w:val="000000"/>
          <w:sz w:val="24"/>
          <w:szCs w:val="24"/>
        </w:rPr>
        <w:t xml:space="preserve"> guía se presenta una síntesis de la reflexión teórica sobre cada una de las dimensiones que conforman la propuesta de formación integral (formación humana, en ciudadanía, democracia y, el compromiso con la sostenibilidad ambiental). En cada dimensión se p</w:t>
      </w:r>
      <w:r>
        <w:rPr>
          <w:color w:val="000000"/>
          <w:sz w:val="24"/>
          <w:szCs w:val="24"/>
        </w:rPr>
        <w:t>resenta el objetivo de formación y el resultado de aprendizaje institucional con los respectivos indicadores de desempeño, así como el porcentaje de créditos académicos que debe cubrir el programa.</w:t>
      </w:r>
    </w:p>
    <w:p w:rsidR="00814C1D" w:rsidRDefault="00FA5360">
      <w:pPr>
        <w:spacing w:before="120" w:after="120" w:line="336" w:lineRule="auto"/>
        <w:jc w:val="both"/>
        <w:rPr>
          <w:color w:val="000000"/>
          <w:sz w:val="24"/>
          <w:szCs w:val="24"/>
        </w:rPr>
      </w:pPr>
      <w:r>
        <w:rPr>
          <w:color w:val="000000"/>
          <w:sz w:val="24"/>
          <w:szCs w:val="24"/>
        </w:rPr>
        <w:t>Con base en la propuesta institucional, cada programa debe</w:t>
      </w:r>
      <w:r>
        <w:rPr>
          <w:color w:val="000000"/>
          <w:sz w:val="24"/>
          <w:szCs w:val="24"/>
        </w:rPr>
        <w:t xml:space="preserve"> presentar el objetivo(s) de formación y el resultado(s) de aprendizaje con el/los que se integra la formación profesional integral (FPI) a la malla curricular y a los micro currículos en los que se propone desarrollar cada una de las dimensiones.</w:t>
      </w:r>
    </w:p>
    <w:p w:rsidR="00814C1D" w:rsidRDefault="00FA5360">
      <w:pPr>
        <w:spacing w:before="120" w:after="120" w:line="336" w:lineRule="auto"/>
        <w:jc w:val="both"/>
        <w:rPr>
          <w:color w:val="000000"/>
          <w:sz w:val="24"/>
          <w:szCs w:val="24"/>
        </w:rPr>
      </w:pPr>
      <w:r>
        <w:rPr>
          <w:color w:val="000000"/>
          <w:sz w:val="24"/>
          <w:szCs w:val="24"/>
        </w:rPr>
        <w:t>Finalmen</w:t>
      </w:r>
      <w:r>
        <w:rPr>
          <w:color w:val="000000"/>
          <w:sz w:val="24"/>
          <w:szCs w:val="24"/>
        </w:rPr>
        <w:t>te, se presenta la oferta institucional de cursos/ asignaturas que pueden ser tenidas en cuenta por los programas de manera total o parcial en la renovación curricular. En caso de que los programas tengan una oferta propia para el desarrollo de las distint</w:t>
      </w:r>
      <w:r>
        <w:rPr>
          <w:color w:val="000000"/>
          <w:sz w:val="24"/>
          <w:szCs w:val="24"/>
        </w:rPr>
        <w:t>as dimensiones, esta también debe quedar explícita en la propuesta curricular, con la correspondiente codificación en el plan de estudio de Admisiones, Registro y Control Académico.</w:t>
      </w:r>
    </w:p>
    <w:p w:rsidR="00814C1D" w:rsidRDefault="00814C1D">
      <w:pPr>
        <w:spacing w:before="120" w:after="120" w:line="336" w:lineRule="auto"/>
        <w:jc w:val="both"/>
        <w:rPr>
          <w:sz w:val="24"/>
          <w:szCs w:val="24"/>
        </w:rPr>
      </w:pPr>
    </w:p>
    <w:p w:rsidR="00814C1D" w:rsidRDefault="00FA5360">
      <w:pPr>
        <w:spacing w:before="120" w:after="120" w:line="336" w:lineRule="auto"/>
        <w:jc w:val="both"/>
        <w:rPr>
          <w:sz w:val="24"/>
          <w:szCs w:val="24"/>
        </w:rPr>
      </w:pPr>
      <w:r>
        <w:rPr>
          <w:color w:val="000000"/>
          <w:sz w:val="24"/>
          <w:szCs w:val="24"/>
        </w:rPr>
        <w:t>La propuesta completa puede ser consultada en el micrositio del Sistema I</w:t>
      </w:r>
      <w:r>
        <w:rPr>
          <w:color w:val="000000"/>
          <w:sz w:val="24"/>
          <w:szCs w:val="24"/>
        </w:rPr>
        <w:t xml:space="preserve">nterno de Aseguramiento de la Calidad Académica (SIAC), en el siguiente </w:t>
      </w:r>
      <w:hyperlink r:id="rId8" w:history="1">
        <w:r w:rsidRPr="00FA5360">
          <w:rPr>
            <w:rStyle w:val="Hipervnculo"/>
            <w:sz w:val="24"/>
            <w:szCs w:val="24"/>
          </w:rPr>
          <w:t>link</w:t>
        </w:r>
      </w:hyperlink>
      <w:r>
        <w:rPr>
          <w:color w:val="000000"/>
          <w:sz w:val="24"/>
          <w:szCs w:val="24"/>
        </w:rPr>
        <w:t xml:space="preserve">: </w:t>
      </w:r>
      <w:hyperlink r:id="rId9">
        <w:r>
          <w:rPr>
            <w:color w:val="000000"/>
            <w:sz w:val="24"/>
            <w:szCs w:val="24"/>
            <w:u w:val="single"/>
          </w:rPr>
          <w:t>https://blog.utp.edu.co/renovaci</w:t>
        </w:r>
        <w:r>
          <w:rPr>
            <w:color w:val="000000"/>
            <w:sz w:val="24"/>
            <w:szCs w:val="24"/>
            <w:u w:val="single"/>
          </w:rPr>
          <w:t>on-curricular/files/2024/08/Orientaciones-para-la-formacion-profesional-integral-Agosto-26.pdf</w:t>
        </w:r>
      </w:hyperlink>
    </w:p>
    <w:p w:rsidR="00814C1D" w:rsidRDefault="00814C1D">
      <w:pPr>
        <w:spacing w:before="120" w:after="120" w:line="336" w:lineRule="auto"/>
        <w:jc w:val="both"/>
        <w:rPr>
          <w:sz w:val="24"/>
          <w:szCs w:val="24"/>
          <w:u w:val="single"/>
        </w:rPr>
      </w:pPr>
    </w:p>
    <w:p w:rsidR="00814C1D" w:rsidRDefault="00FA5360">
      <w:pPr>
        <w:spacing w:before="120" w:after="120" w:line="336" w:lineRule="auto"/>
        <w:jc w:val="both"/>
        <w:rPr>
          <w:color w:val="000000"/>
          <w:sz w:val="24"/>
          <w:szCs w:val="24"/>
        </w:rPr>
      </w:pPr>
      <w:r>
        <w:rPr>
          <w:color w:val="000000"/>
          <w:sz w:val="24"/>
          <w:szCs w:val="24"/>
        </w:rPr>
        <w:t xml:space="preserve">En la Universidad la </w:t>
      </w:r>
      <w:r>
        <w:rPr>
          <w:b/>
          <w:color w:val="E69138"/>
          <w:sz w:val="24"/>
          <w:szCs w:val="24"/>
        </w:rPr>
        <w:t>DIMENSIÓN DE FORMACIÓN EN PENSAMIENTO CRÍTICO</w:t>
      </w:r>
      <w:r>
        <w:rPr>
          <w:color w:val="B45F06"/>
          <w:sz w:val="24"/>
          <w:szCs w:val="24"/>
        </w:rPr>
        <w:t xml:space="preserve"> </w:t>
      </w:r>
      <w:r>
        <w:rPr>
          <w:color w:val="000000"/>
          <w:sz w:val="24"/>
          <w:szCs w:val="24"/>
        </w:rPr>
        <w:t>compren</w:t>
      </w:r>
      <w:bookmarkStart w:id="1" w:name="_GoBack"/>
      <w:bookmarkEnd w:id="1"/>
      <w:r>
        <w:rPr>
          <w:color w:val="000000"/>
          <w:sz w:val="24"/>
          <w:szCs w:val="24"/>
        </w:rPr>
        <w:t>de los siguientes aspectos:</w:t>
      </w:r>
    </w:p>
    <w:p w:rsidR="00814C1D" w:rsidRDefault="00FA536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La alfabetización académica (literacidad crítica)</w:t>
      </w:r>
    </w:p>
    <w:p w:rsidR="00814C1D" w:rsidRDefault="00FA536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La escritura como proceso</w:t>
      </w:r>
    </w:p>
    <w:p w:rsidR="00814C1D" w:rsidRDefault="00FA536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La lectura crítica y productiva (alfabetización crítica y compromiso con la acción social)</w:t>
      </w:r>
    </w:p>
    <w:p w:rsidR="00814C1D" w:rsidRDefault="00FA5360">
      <w:pPr>
        <w:numPr>
          <w:ilvl w:val="0"/>
          <w:numId w:val="1"/>
        </w:numPr>
        <w:pBdr>
          <w:top w:val="nil"/>
          <w:left w:val="nil"/>
          <w:bottom w:val="nil"/>
          <w:right w:val="nil"/>
          <w:between w:val="nil"/>
        </w:pBdr>
        <w:spacing w:line="276" w:lineRule="auto"/>
        <w:rPr>
          <w:color w:val="000000"/>
          <w:sz w:val="24"/>
          <w:szCs w:val="24"/>
        </w:rPr>
      </w:pPr>
      <w:r>
        <w:rPr>
          <w:color w:val="000000"/>
          <w:sz w:val="24"/>
          <w:szCs w:val="24"/>
        </w:rPr>
        <w:t>La escucha activa y la oralidad.</w:t>
      </w:r>
    </w:p>
    <w:p w:rsidR="00814C1D" w:rsidRDefault="00FA5360">
      <w:pPr>
        <w:spacing w:before="120" w:after="120" w:line="336" w:lineRule="auto"/>
        <w:jc w:val="both"/>
        <w:rPr>
          <w:color w:val="000000"/>
          <w:sz w:val="24"/>
          <w:szCs w:val="24"/>
        </w:rPr>
      </w:pPr>
      <w:r>
        <w:rPr>
          <w:color w:val="000000"/>
          <w:sz w:val="24"/>
          <w:szCs w:val="24"/>
        </w:rPr>
        <w:t>El horizonte de esta dimensión busca fortalecer en los estudiantes y egresados la adquisición de herramientas teóricas y prácticas para identificar, analizar, procesar, interpretar información en contexto, tomar decisiones y actuar con posturas fundamentad</w:t>
      </w:r>
      <w:r>
        <w:rPr>
          <w:color w:val="000000"/>
          <w:sz w:val="24"/>
          <w:szCs w:val="24"/>
        </w:rPr>
        <w:t>as y conscientes.</w:t>
      </w:r>
    </w:p>
    <w:tbl>
      <w:tblPr>
        <w:tblStyle w:val="a"/>
        <w:tblW w:w="9062"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383"/>
        <w:gridCol w:w="1616"/>
        <w:gridCol w:w="1963"/>
        <w:gridCol w:w="3100"/>
      </w:tblGrid>
      <w:tr w:rsidR="00814C1D" w:rsidTr="00814C1D">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83" w:type="dxa"/>
            <w:vAlign w:val="center"/>
          </w:tcPr>
          <w:p w:rsidR="00814C1D" w:rsidRDefault="00FA5360">
            <w:pPr>
              <w:spacing w:line="276" w:lineRule="auto"/>
              <w:rPr>
                <w:color w:val="434343"/>
                <w:sz w:val="24"/>
                <w:szCs w:val="24"/>
              </w:rPr>
            </w:pPr>
            <w:r>
              <w:rPr>
                <w:color w:val="434343"/>
                <w:sz w:val="24"/>
                <w:szCs w:val="24"/>
              </w:rPr>
              <w:t>Objetivo institucional</w:t>
            </w:r>
          </w:p>
        </w:tc>
        <w:tc>
          <w:tcPr>
            <w:tcW w:w="6679" w:type="dxa"/>
            <w:gridSpan w:val="3"/>
            <w:vAlign w:val="center"/>
          </w:tcPr>
          <w:p w:rsidR="00814C1D" w:rsidRDefault="00FA5360">
            <w:pPr>
              <w:spacing w:line="276" w:lineRule="auto"/>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Aportar elementos de orden teórico y práctico para que los estudiantes y los miembros de la comunidad educativa aprendan a identificar, analizar, procesar e interpretar la información, de manera que puedan asumir po</w:t>
            </w:r>
            <w:r>
              <w:rPr>
                <w:b w:val="0"/>
                <w:color w:val="000000"/>
                <w:sz w:val="24"/>
                <w:szCs w:val="24"/>
              </w:rPr>
              <w:t>sturas razonadas y conscientes en la toma de decisiones.</w:t>
            </w:r>
          </w:p>
        </w:tc>
      </w:tr>
      <w:tr w:rsidR="00814C1D" w:rsidTr="00814C1D">
        <w:trPr>
          <w:trHeight w:val="510"/>
        </w:trPr>
        <w:tc>
          <w:tcPr>
            <w:cnfStyle w:val="001000000000" w:firstRow="0" w:lastRow="0" w:firstColumn="1" w:lastColumn="0" w:oddVBand="0" w:evenVBand="0" w:oddHBand="0" w:evenHBand="0" w:firstRowFirstColumn="0" w:firstRowLastColumn="0" w:lastRowFirstColumn="0" w:lastRowLastColumn="0"/>
            <w:tcW w:w="2383" w:type="dxa"/>
            <w:vAlign w:val="center"/>
          </w:tcPr>
          <w:p w:rsidR="00814C1D" w:rsidRDefault="00FA5360">
            <w:pPr>
              <w:spacing w:line="276" w:lineRule="auto"/>
              <w:rPr>
                <w:color w:val="434343"/>
                <w:sz w:val="24"/>
                <w:szCs w:val="24"/>
              </w:rPr>
            </w:pPr>
            <w:r>
              <w:rPr>
                <w:color w:val="434343"/>
                <w:sz w:val="24"/>
                <w:szCs w:val="24"/>
              </w:rPr>
              <w:t>Resultado de aprendizaje institucional</w:t>
            </w:r>
          </w:p>
        </w:tc>
        <w:tc>
          <w:tcPr>
            <w:tcW w:w="6679" w:type="dxa"/>
            <w:gridSpan w:val="3"/>
            <w:vAlign w:val="center"/>
          </w:tcPr>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El estudiante y el egresado de la Universidad analiza con profundidad la información procedente de diferentes fuentes, toma una posición fundamentada, sustenta</w:t>
            </w:r>
            <w:r>
              <w:rPr>
                <w:color w:val="000000"/>
                <w:sz w:val="24"/>
                <w:szCs w:val="24"/>
              </w:rPr>
              <w:t>da en argumentos y puede usarla de manera pertinente, flexible y creativa en contextos concretos.</w:t>
            </w:r>
          </w:p>
        </w:tc>
      </w:tr>
      <w:tr w:rsidR="00814C1D" w:rsidTr="00814C1D">
        <w:trPr>
          <w:trHeight w:val="300"/>
        </w:trPr>
        <w:tc>
          <w:tcPr>
            <w:cnfStyle w:val="001000000000" w:firstRow="0" w:lastRow="0" w:firstColumn="1" w:lastColumn="0" w:oddVBand="0" w:evenVBand="0" w:oddHBand="0" w:evenHBand="0" w:firstRowFirstColumn="0" w:firstRowLastColumn="0" w:lastRowFirstColumn="0" w:lastRowLastColumn="0"/>
            <w:tcW w:w="2383" w:type="dxa"/>
            <w:vAlign w:val="center"/>
          </w:tcPr>
          <w:p w:rsidR="00814C1D" w:rsidRDefault="00FA5360">
            <w:pPr>
              <w:spacing w:line="276" w:lineRule="auto"/>
              <w:rPr>
                <w:color w:val="434343"/>
                <w:sz w:val="24"/>
                <w:szCs w:val="24"/>
              </w:rPr>
            </w:pPr>
            <w:r>
              <w:rPr>
                <w:color w:val="434343"/>
                <w:sz w:val="24"/>
                <w:szCs w:val="24"/>
              </w:rPr>
              <w:t>Porcentaje Créditos Institucionales</w:t>
            </w:r>
          </w:p>
        </w:tc>
        <w:tc>
          <w:tcPr>
            <w:tcW w:w="6679" w:type="dxa"/>
            <w:gridSpan w:val="3"/>
            <w:vAlign w:val="center"/>
          </w:tcPr>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Mínimo 2%</w:t>
            </w:r>
          </w:p>
        </w:tc>
      </w:tr>
      <w:tr w:rsidR="00814C1D" w:rsidTr="00814C1D">
        <w:trPr>
          <w:trHeight w:val="840"/>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69138"/>
            <w:vAlign w:val="center"/>
          </w:tcPr>
          <w:p w:rsidR="00814C1D" w:rsidRDefault="00FA5360">
            <w:pPr>
              <w:spacing w:line="276" w:lineRule="auto"/>
              <w:jc w:val="center"/>
              <w:rPr>
                <w:color w:val="FFFFFF"/>
                <w:sz w:val="28"/>
                <w:szCs w:val="28"/>
              </w:rPr>
            </w:pPr>
            <w:r>
              <w:rPr>
                <w:color w:val="FFFFFF"/>
                <w:sz w:val="28"/>
                <w:szCs w:val="28"/>
              </w:rPr>
              <w:t>Formación profesional integral en el programa</w:t>
            </w:r>
          </w:p>
        </w:tc>
      </w:tr>
      <w:tr w:rsidR="00814C1D" w:rsidTr="00814C1D">
        <w:trPr>
          <w:trHeight w:val="1350"/>
        </w:trPr>
        <w:tc>
          <w:tcPr>
            <w:cnfStyle w:val="001000000000" w:firstRow="0" w:lastRow="0" w:firstColumn="1" w:lastColumn="0" w:oddVBand="0" w:evenVBand="0" w:oddHBand="0" w:evenHBand="0" w:firstRowFirstColumn="0" w:firstRowLastColumn="0" w:lastRowFirstColumn="0" w:lastRowLastColumn="0"/>
            <w:tcW w:w="9062" w:type="dxa"/>
            <w:gridSpan w:val="4"/>
          </w:tcPr>
          <w:p w:rsidR="00814C1D" w:rsidRDefault="00FA5360">
            <w:pPr>
              <w:spacing w:line="276" w:lineRule="auto"/>
              <w:rPr>
                <w:color w:val="434343"/>
                <w:sz w:val="24"/>
                <w:szCs w:val="24"/>
              </w:rPr>
            </w:pPr>
            <w:r>
              <w:rPr>
                <w:color w:val="434343"/>
                <w:sz w:val="24"/>
                <w:szCs w:val="24"/>
              </w:rPr>
              <w:t xml:space="preserve">Objetivo del programa: </w:t>
            </w:r>
          </w:p>
        </w:tc>
      </w:tr>
      <w:tr w:rsidR="00814C1D" w:rsidTr="00814C1D">
        <w:trPr>
          <w:trHeight w:val="1215"/>
        </w:trPr>
        <w:tc>
          <w:tcPr>
            <w:cnfStyle w:val="001000000000" w:firstRow="0" w:lastRow="0" w:firstColumn="1" w:lastColumn="0" w:oddVBand="0" w:evenVBand="0" w:oddHBand="0" w:evenHBand="0" w:firstRowFirstColumn="0" w:firstRowLastColumn="0" w:lastRowFirstColumn="0" w:lastRowLastColumn="0"/>
            <w:tcW w:w="9062" w:type="dxa"/>
            <w:gridSpan w:val="4"/>
          </w:tcPr>
          <w:p w:rsidR="00814C1D" w:rsidRDefault="00FA5360">
            <w:pPr>
              <w:spacing w:line="276" w:lineRule="auto"/>
              <w:rPr>
                <w:color w:val="434343"/>
                <w:sz w:val="24"/>
                <w:szCs w:val="24"/>
              </w:rPr>
            </w:pPr>
            <w:r>
              <w:rPr>
                <w:color w:val="434343"/>
                <w:sz w:val="24"/>
                <w:szCs w:val="24"/>
              </w:rPr>
              <w:t>Resultado de aprendizaje del programa:</w:t>
            </w:r>
          </w:p>
        </w:tc>
      </w:tr>
      <w:tr w:rsidR="00814C1D" w:rsidTr="00814C1D">
        <w:trPr>
          <w:trHeight w:val="510"/>
        </w:trPr>
        <w:tc>
          <w:tcPr>
            <w:cnfStyle w:val="001000000000" w:firstRow="0" w:lastRow="0" w:firstColumn="1" w:lastColumn="0" w:oddVBand="0" w:evenVBand="0" w:oddHBand="0" w:evenHBand="0" w:firstRowFirstColumn="0" w:firstRowLastColumn="0" w:lastRowFirstColumn="0" w:lastRowLastColumn="0"/>
            <w:tcW w:w="2383" w:type="dxa"/>
            <w:shd w:val="clear" w:color="auto" w:fill="E69138"/>
            <w:vAlign w:val="center"/>
          </w:tcPr>
          <w:p w:rsidR="00814C1D" w:rsidRDefault="00FA5360">
            <w:pPr>
              <w:spacing w:line="276" w:lineRule="auto"/>
              <w:jc w:val="center"/>
              <w:rPr>
                <w:color w:val="FFFFFF"/>
                <w:sz w:val="24"/>
                <w:szCs w:val="24"/>
              </w:rPr>
            </w:pPr>
            <w:r>
              <w:rPr>
                <w:color w:val="FFFFFF"/>
                <w:sz w:val="24"/>
                <w:szCs w:val="24"/>
              </w:rPr>
              <w:lastRenderedPageBreak/>
              <w:t>Indicadores de desempeño</w:t>
            </w:r>
          </w:p>
        </w:tc>
        <w:tc>
          <w:tcPr>
            <w:tcW w:w="1616" w:type="dxa"/>
            <w:shd w:val="clear" w:color="auto" w:fill="E69138"/>
            <w:vAlign w:val="center"/>
          </w:tcPr>
          <w:p w:rsidR="00814C1D" w:rsidRDefault="00FA5360">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Objetivo/s de la asignatura</w:t>
            </w:r>
          </w:p>
        </w:tc>
        <w:tc>
          <w:tcPr>
            <w:tcW w:w="1963" w:type="dxa"/>
            <w:shd w:val="clear" w:color="auto" w:fill="E69138"/>
            <w:vAlign w:val="center"/>
          </w:tcPr>
          <w:p w:rsidR="00814C1D" w:rsidRDefault="00FA5360">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Resultado de aprendizaje de la asignatura</w:t>
            </w:r>
          </w:p>
        </w:tc>
        <w:tc>
          <w:tcPr>
            <w:tcW w:w="3100" w:type="dxa"/>
            <w:shd w:val="clear" w:color="auto" w:fill="E69138"/>
            <w:vAlign w:val="center"/>
          </w:tcPr>
          <w:p w:rsidR="00814C1D" w:rsidRDefault="00FA5360">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Nombre de los cursos, asignaturas/actividades</w:t>
            </w:r>
          </w:p>
        </w:tc>
      </w:tr>
      <w:tr w:rsidR="00814C1D" w:rsidTr="00814C1D">
        <w:trPr>
          <w:trHeight w:val="5973"/>
        </w:trPr>
        <w:tc>
          <w:tcPr>
            <w:cnfStyle w:val="001000000000" w:firstRow="0" w:lastRow="0" w:firstColumn="1" w:lastColumn="0" w:oddVBand="0" w:evenVBand="0" w:oddHBand="0" w:evenHBand="0" w:firstRowFirstColumn="0" w:firstRowLastColumn="0" w:lastRowFirstColumn="0" w:lastRowLastColumn="0"/>
            <w:tcW w:w="2383" w:type="dxa"/>
            <w:vAlign w:val="center"/>
          </w:tcPr>
          <w:p w:rsidR="00814C1D" w:rsidRDefault="00FA5360">
            <w:pPr>
              <w:numPr>
                <w:ilvl w:val="0"/>
                <w:numId w:val="2"/>
              </w:numPr>
              <w:pBdr>
                <w:top w:val="nil"/>
                <w:left w:val="nil"/>
                <w:bottom w:val="nil"/>
                <w:right w:val="nil"/>
                <w:between w:val="nil"/>
              </w:pBdr>
              <w:spacing w:line="276" w:lineRule="auto"/>
              <w:ind w:left="164" w:hanging="164"/>
              <w:rPr>
                <w:color w:val="000000"/>
                <w:sz w:val="24"/>
                <w:szCs w:val="24"/>
              </w:rPr>
            </w:pPr>
            <w:r>
              <w:rPr>
                <w:b w:val="0"/>
                <w:color w:val="000000"/>
                <w:sz w:val="24"/>
                <w:szCs w:val="24"/>
              </w:rPr>
              <w:t>Abstrae, analiza y sintetiza información de diferentes fuentes.</w:t>
            </w:r>
          </w:p>
          <w:p w:rsidR="00814C1D" w:rsidRDefault="00814C1D">
            <w:pPr>
              <w:pBdr>
                <w:top w:val="nil"/>
                <w:left w:val="nil"/>
                <w:bottom w:val="nil"/>
                <w:right w:val="nil"/>
                <w:between w:val="nil"/>
              </w:pBdr>
              <w:spacing w:line="276" w:lineRule="auto"/>
              <w:ind w:left="164"/>
              <w:rPr>
                <w:color w:val="000000"/>
                <w:sz w:val="24"/>
                <w:szCs w:val="24"/>
              </w:rPr>
            </w:pPr>
          </w:p>
          <w:p w:rsidR="00814C1D" w:rsidRDefault="00FA5360">
            <w:pPr>
              <w:numPr>
                <w:ilvl w:val="0"/>
                <w:numId w:val="2"/>
              </w:numPr>
              <w:pBdr>
                <w:top w:val="nil"/>
                <w:left w:val="nil"/>
                <w:bottom w:val="nil"/>
                <w:right w:val="nil"/>
                <w:between w:val="nil"/>
              </w:pBdr>
              <w:spacing w:after="160" w:line="276" w:lineRule="auto"/>
              <w:ind w:left="164" w:hanging="164"/>
              <w:rPr>
                <w:color w:val="000000"/>
                <w:sz w:val="24"/>
                <w:szCs w:val="24"/>
              </w:rPr>
            </w:pPr>
            <w:r>
              <w:rPr>
                <w:b w:val="0"/>
                <w:color w:val="000000"/>
                <w:sz w:val="24"/>
                <w:szCs w:val="24"/>
              </w:rPr>
              <w:t>Procesa información oral, escrita, visual y audiovisual de manera coherente y pertinente.</w:t>
            </w:r>
          </w:p>
          <w:p w:rsidR="00814C1D" w:rsidRDefault="00814C1D">
            <w:pPr>
              <w:spacing w:line="276" w:lineRule="auto"/>
              <w:rPr>
                <w:color w:val="000000"/>
                <w:sz w:val="24"/>
                <w:szCs w:val="24"/>
              </w:rPr>
            </w:pPr>
          </w:p>
          <w:p w:rsidR="00814C1D" w:rsidRDefault="00FA5360">
            <w:pPr>
              <w:numPr>
                <w:ilvl w:val="0"/>
                <w:numId w:val="2"/>
              </w:numPr>
              <w:pBdr>
                <w:top w:val="nil"/>
                <w:left w:val="nil"/>
                <w:bottom w:val="nil"/>
                <w:right w:val="nil"/>
                <w:between w:val="nil"/>
              </w:pBdr>
              <w:spacing w:after="160" w:line="276" w:lineRule="auto"/>
              <w:ind w:left="164" w:hanging="164"/>
              <w:rPr>
                <w:color w:val="000000"/>
                <w:sz w:val="24"/>
                <w:szCs w:val="24"/>
              </w:rPr>
            </w:pPr>
            <w:r>
              <w:rPr>
                <w:b w:val="0"/>
                <w:color w:val="000000"/>
                <w:sz w:val="24"/>
                <w:szCs w:val="24"/>
              </w:rPr>
              <w:t>Busca, procesa y produce información proveniente de diversas fuentes o de diversos modelos de realidad.</w:t>
            </w:r>
          </w:p>
          <w:p w:rsidR="00814C1D" w:rsidRDefault="00814C1D">
            <w:pPr>
              <w:spacing w:line="276" w:lineRule="auto"/>
              <w:rPr>
                <w:color w:val="000000"/>
                <w:sz w:val="24"/>
                <w:szCs w:val="24"/>
              </w:rPr>
            </w:pPr>
          </w:p>
          <w:p w:rsidR="00814C1D" w:rsidRDefault="00FA5360">
            <w:pPr>
              <w:numPr>
                <w:ilvl w:val="0"/>
                <w:numId w:val="2"/>
              </w:numPr>
              <w:pBdr>
                <w:top w:val="nil"/>
                <w:left w:val="nil"/>
                <w:bottom w:val="nil"/>
                <w:right w:val="nil"/>
                <w:between w:val="nil"/>
              </w:pBdr>
              <w:spacing w:after="160" w:line="276" w:lineRule="auto"/>
              <w:ind w:left="164" w:hanging="164"/>
              <w:rPr>
                <w:color w:val="000000"/>
                <w:sz w:val="24"/>
                <w:szCs w:val="24"/>
              </w:rPr>
            </w:pPr>
            <w:r>
              <w:rPr>
                <w:b w:val="0"/>
                <w:color w:val="000000"/>
                <w:sz w:val="24"/>
                <w:szCs w:val="24"/>
              </w:rPr>
              <w:t>Evalúa distintas ideas y razonamientos con respecto a estánd</w:t>
            </w:r>
            <w:r>
              <w:rPr>
                <w:b w:val="0"/>
                <w:color w:val="000000"/>
                <w:sz w:val="24"/>
                <w:szCs w:val="24"/>
              </w:rPr>
              <w:t>ares específicos.</w:t>
            </w:r>
          </w:p>
        </w:tc>
        <w:tc>
          <w:tcPr>
            <w:tcW w:w="1616" w:type="dxa"/>
            <w:vAlign w:val="center"/>
          </w:tcPr>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c>
          <w:tcPr>
            <w:tcW w:w="1963" w:type="dxa"/>
            <w:vAlign w:val="center"/>
          </w:tcPr>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c>
          <w:tcPr>
            <w:tcW w:w="3100" w:type="dxa"/>
            <w:vAlign w:val="center"/>
          </w:tcPr>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814C1D" w:rsidRDefault="00FA53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r>
    </w:tbl>
    <w:p w:rsidR="00814C1D" w:rsidRDefault="00814C1D">
      <w:pPr>
        <w:spacing w:before="120" w:after="120" w:line="240" w:lineRule="auto"/>
        <w:rPr>
          <w:b/>
          <w:sz w:val="24"/>
          <w:szCs w:val="24"/>
        </w:rPr>
      </w:pPr>
    </w:p>
    <w:p w:rsidR="00814C1D" w:rsidRDefault="00FA5360">
      <w:pPr>
        <w:spacing w:before="120" w:after="120" w:line="240" w:lineRule="auto"/>
        <w:rPr>
          <w:color w:val="E69138"/>
          <w:sz w:val="40"/>
          <w:szCs w:val="40"/>
        </w:rPr>
      </w:pPr>
      <w:r>
        <w:rPr>
          <w:b/>
          <w:color w:val="E69138"/>
          <w:sz w:val="40"/>
          <w:szCs w:val="40"/>
        </w:rPr>
        <w:t>Oferta institucional para la dimensión de Pensamiento Crítico</w:t>
      </w:r>
    </w:p>
    <w:tbl>
      <w:tblPr>
        <w:tblStyle w:val="a0"/>
        <w:tblW w:w="9062"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600" w:firstRow="0" w:lastRow="0" w:firstColumn="0" w:lastColumn="0" w:noHBand="1" w:noVBand="1"/>
      </w:tblPr>
      <w:tblGrid>
        <w:gridCol w:w="988"/>
        <w:gridCol w:w="6724"/>
        <w:gridCol w:w="1350"/>
      </w:tblGrid>
      <w:tr w:rsidR="00814C1D" w:rsidTr="00814C1D">
        <w:trPr>
          <w:trHeight w:val="840"/>
        </w:trPr>
        <w:tc>
          <w:tcPr>
            <w:tcW w:w="9062" w:type="dxa"/>
            <w:gridSpan w:val="3"/>
            <w:shd w:val="clear" w:color="auto" w:fill="E69138"/>
            <w:vAlign w:val="center"/>
          </w:tcPr>
          <w:p w:rsidR="00814C1D" w:rsidRDefault="00FA5360">
            <w:pPr>
              <w:spacing w:line="360" w:lineRule="auto"/>
              <w:jc w:val="center"/>
              <w:rPr>
                <w:b/>
                <w:sz w:val="28"/>
                <w:szCs w:val="28"/>
              </w:rPr>
            </w:pPr>
            <w:r>
              <w:rPr>
                <w:b/>
                <w:color w:val="FFFFFF"/>
                <w:sz w:val="28"/>
                <w:szCs w:val="28"/>
              </w:rPr>
              <w:t>Departamento de Humanidades</w:t>
            </w:r>
          </w:p>
        </w:tc>
      </w:tr>
      <w:tr w:rsidR="00814C1D" w:rsidTr="00FA5360">
        <w:trPr>
          <w:trHeight w:val="605"/>
        </w:trPr>
        <w:tc>
          <w:tcPr>
            <w:tcW w:w="988" w:type="dxa"/>
            <w:vAlign w:val="center"/>
          </w:tcPr>
          <w:p w:rsidR="00814C1D" w:rsidRDefault="00FA5360">
            <w:pPr>
              <w:widowControl w:val="0"/>
              <w:spacing w:line="360" w:lineRule="auto"/>
              <w:jc w:val="center"/>
              <w:rPr>
                <w:b/>
                <w:color w:val="434343"/>
                <w:sz w:val="24"/>
                <w:szCs w:val="24"/>
              </w:rPr>
            </w:pPr>
            <w:r>
              <w:rPr>
                <w:b/>
                <w:color w:val="434343"/>
                <w:sz w:val="24"/>
                <w:szCs w:val="24"/>
              </w:rPr>
              <w:t>Código</w:t>
            </w:r>
          </w:p>
        </w:tc>
        <w:tc>
          <w:tcPr>
            <w:tcW w:w="6724" w:type="dxa"/>
            <w:vAlign w:val="center"/>
          </w:tcPr>
          <w:p w:rsidR="00814C1D" w:rsidRDefault="00FA5360">
            <w:pPr>
              <w:widowControl w:val="0"/>
              <w:spacing w:line="360" w:lineRule="auto"/>
              <w:jc w:val="center"/>
              <w:rPr>
                <w:b/>
                <w:color w:val="434343"/>
                <w:sz w:val="24"/>
                <w:szCs w:val="24"/>
              </w:rPr>
            </w:pPr>
            <w:r>
              <w:rPr>
                <w:b/>
                <w:color w:val="434343"/>
                <w:sz w:val="24"/>
                <w:szCs w:val="24"/>
              </w:rPr>
              <w:t>Asignatura o curso</w:t>
            </w:r>
          </w:p>
        </w:tc>
        <w:tc>
          <w:tcPr>
            <w:tcW w:w="1350" w:type="dxa"/>
            <w:vAlign w:val="center"/>
          </w:tcPr>
          <w:p w:rsidR="00814C1D" w:rsidRDefault="00FA5360">
            <w:pPr>
              <w:widowControl w:val="0"/>
              <w:spacing w:line="360" w:lineRule="auto"/>
              <w:jc w:val="center"/>
              <w:rPr>
                <w:b/>
                <w:color w:val="434343"/>
                <w:sz w:val="24"/>
                <w:szCs w:val="24"/>
              </w:rPr>
            </w:pPr>
            <w:r>
              <w:rPr>
                <w:b/>
                <w:color w:val="434343"/>
                <w:sz w:val="24"/>
                <w:szCs w:val="24"/>
              </w:rPr>
              <w:t>No. de créditos</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BA132</w:t>
            </w:r>
          </w:p>
        </w:tc>
        <w:tc>
          <w:tcPr>
            <w:tcW w:w="6724" w:type="dxa"/>
            <w:vAlign w:val="center"/>
          </w:tcPr>
          <w:p w:rsidR="00814C1D" w:rsidRDefault="00FA5360">
            <w:pPr>
              <w:spacing w:line="360" w:lineRule="auto"/>
              <w:rPr>
                <w:b/>
                <w:i/>
                <w:color w:val="000000"/>
                <w:sz w:val="24"/>
                <w:szCs w:val="24"/>
              </w:rPr>
            </w:pPr>
            <w:r>
              <w:rPr>
                <w:color w:val="000000"/>
                <w:sz w:val="24"/>
                <w:szCs w:val="24"/>
              </w:rPr>
              <w:t>Expresión oral y escrita</w:t>
            </w:r>
          </w:p>
        </w:tc>
        <w:tc>
          <w:tcPr>
            <w:tcW w:w="1350" w:type="dxa"/>
            <w:vAlign w:val="center"/>
          </w:tcPr>
          <w:p w:rsidR="00814C1D" w:rsidRDefault="00FA5360">
            <w:pPr>
              <w:spacing w:line="360" w:lineRule="auto"/>
              <w:rPr>
                <w:b/>
                <w:i/>
                <w:color w:val="000000"/>
                <w:sz w:val="24"/>
                <w:szCs w:val="24"/>
              </w:rPr>
            </w:pPr>
            <w:r>
              <w:rPr>
                <w:color w:val="000000"/>
                <w:sz w:val="24"/>
                <w:szCs w:val="24"/>
              </w:rPr>
              <w:t>2 créditos</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BA153</w:t>
            </w:r>
          </w:p>
        </w:tc>
        <w:tc>
          <w:tcPr>
            <w:tcW w:w="6724" w:type="dxa"/>
            <w:vAlign w:val="center"/>
          </w:tcPr>
          <w:p w:rsidR="00814C1D" w:rsidRDefault="00FA5360">
            <w:pPr>
              <w:spacing w:line="360" w:lineRule="auto"/>
              <w:rPr>
                <w:b/>
                <w:i/>
                <w:color w:val="000000"/>
                <w:sz w:val="24"/>
                <w:szCs w:val="24"/>
              </w:rPr>
            </w:pPr>
            <w:r>
              <w:rPr>
                <w:color w:val="000000"/>
                <w:sz w:val="24"/>
                <w:szCs w:val="24"/>
              </w:rPr>
              <w:t>Comunicación oral y escrita</w:t>
            </w:r>
          </w:p>
        </w:tc>
        <w:tc>
          <w:tcPr>
            <w:tcW w:w="1350" w:type="dxa"/>
            <w:vAlign w:val="center"/>
          </w:tcPr>
          <w:p w:rsidR="00814C1D" w:rsidRDefault="00FA5360">
            <w:pPr>
              <w:spacing w:line="360" w:lineRule="auto"/>
              <w:rPr>
                <w:b/>
                <w:i/>
                <w:color w:val="000000"/>
                <w:sz w:val="24"/>
                <w:szCs w:val="24"/>
              </w:rPr>
            </w:pPr>
            <w:r>
              <w:rPr>
                <w:color w:val="000000"/>
                <w:sz w:val="24"/>
                <w:szCs w:val="24"/>
              </w:rPr>
              <w:t>2 créditos</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BA252</w:t>
            </w:r>
          </w:p>
        </w:tc>
        <w:tc>
          <w:tcPr>
            <w:tcW w:w="6724" w:type="dxa"/>
            <w:vAlign w:val="center"/>
          </w:tcPr>
          <w:p w:rsidR="00814C1D" w:rsidRDefault="00FA5360">
            <w:pPr>
              <w:spacing w:line="360" w:lineRule="auto"/>
              <w:rPr>
                <w:b/>
                <w:i/>
                <w:color w:val="000000"/>
                <w:sz w:val="24"/>
                <w:szCs w:val="24"/>
              </w:rPr>
            </w:pPr>
            <w:r>
              <w:rPr>
                <w:color w:val="000000"/>
                <w:sz w:val="24"/>
                <w:szCs w:val="24"/>
              </w:rPr>
              <w:t>Comunicación oral y escrita II</w:t>
            </w:r>
          </w:p>
        </w:tc>
        <w:tc>
          <w:tcPr>
            <w:tcW w:w="1350" w:type="dxa"/>
            <w:vAlign w:val="center"/>
          </w:tcPr>
          <w:p w:rsidR="00814C1D" w:rsidRDefault="00FA5360">
            <w:pPr>
              <w:spacing w:line="360" w:lineRule="auto"/>
              <w:rPr>
                <w:b/>
                <w:i/>
                <w:color w:val="000000"/>
                <w:sz w:val="24"/>
                <w:szCs w:val="24"/>
              </w:rPr>
            </w:pPr>
            <w:r>
              <w:rPr>
                <w:color w:val="000000"/>
                <w:sz w:val="24"/>
                <w:szCs w:val="24"/>
              </w:rPr>
              <w:t>2 créditos</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lastRenderedPageBreak/>
              <w:t>BA122</w:t>
            </w:r>
          </w:p>
        </w:tc>
        <w:tc>
          <w:tcPr>
            <w:tcW w:w="6724" w:type="dxa"/>
            <w:vAlign w:val="center"/>
          </w:tcPr>
          <w:p w:rsidR="00814C1D" w:rsidRDefault="00FA5360">
            <w:pPr>
              <w:spacing w:line="360" w:lineRule="auto"/>
              <w:rPr>
                <w:color w:val="000000"/>
                <w:sz w:val="24"/>
                <w:szCs w:val="24"/>
              </w:rPr>
            </w:pPr>
            <w:r>
              <w:rPr>
                <w:color w:val="000000"/>
                <w:sz w:val="24"/>
                <w:szCs w:val="24"/>
              </w:rPr>
              <w:t>Metodología de la investigación</w:t>
            </w:r>
          </w:p>
        </w:tc>
        <w:tc>
          <w:tcPr>
            <w:tcW w:w="1350" w:type="dxa"/>
            <w:vAlign w:val="center"/>
          </w:tcPr>
          <w:p w:rsidR="00814C1D" w:rsidRDefault="00FA5360">
            <w:pPr>
              <w:spacing w:line="360" w:lineRule="auto"/>
              <w:rPr>
                <w:color w:val="000000"/>
                <w:sz w:val="24"/>
                <w:szCs w:val="24"/>
              </w:rPr>
            </w:pPr>
            <w:r>
              <w:rPr>
                <w:color w:val="000000"/>
                <w:sz w:val="24"/>
                <w:szCs w:val="24"/>
              </w:rPr>
              <w:t>2 créditos</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BA015</w:t>
            </w:r>
          </w:p>
        </w:tc>
        <w:tc>
          <w:tcPr>
            <w:tcW w:w="6724" w:type="dxa"/>
            <w:vAlign w:val="center"/>
          </w:tcPr>
          <w:p w:rsidR="00814C1D" w:rsidRDefault="00FA5360">
            <w:pPr>
              <w:spacing w:line="360" w:lineRule="auto"/>
              <w:rPr>
                <w:color w:val="000000"/>
                <w:sz w:val="24"/>
                <w:szCs w:val="24"/>
              </w:rPr>
            </w:pPr>
            <w:r>
              <w:rPr>
                <w:color w:val="000000"/>
                <w:sz w:val="24"/>
                <w:szCs w:val="24"/>
              </w:rPr>
              <w:t>Taller de lectura y escritura académica</w:t>
            </w:r>
          </w:p>
        </w:tc>
        <w:tc>
          <w:tcPr>
            <w:tcW w:w="1350" w:type="dxa"/>
            <w:vAlign w:val="center"/>
          </w:tcPr>
          <w:p w:rsidR="00814C1D" w:rsidRDefault="00FA5360">
            <w:pPr>
              <w:spacing w:line="360" w:lineRule="auto"/>
              <w:rPr>
                <w:color w:val="000000"/>
                <w:sz w:val="24"/>
                <w:szCs w:val="24"/>
              </w:rPr>
            </w:pPr>
            <w:r>
              <w:rPr>
                <w:color w:val="000000"/>
                <w:sz w:val="24"/>
                <w:szCs w:val="24"/>
              </w:rPr>
              <w:t>1 crédito</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BA008</w:t>
            </w:r>
          </w:p>
        </w:tc>
        <w:tc>
          <w:tcPr>
            <w:tcW w:w="6724" w:type="dxa"/>
            <w:vAlign w:val="center"/>
          </w:tcPr>
          <w:p w:rsidR="00814C1D" w:rsidRDefault="00FA5360">
            <w:pPr>
              <w:spacing w:line="360" w:lineRule="auto"/>
              <w:rPr>
                <w:color w:val="000000"/>
                <w:sz w:val="24"/>
                <w:szCs w:val="24"/>
              </w:rPr>
            </w:pPr>
            <w:r>
              <w:rPr>
                <w:color w:val="000000"/>
                <w:sz w:val="24"/>
                <w:szCs w:val="24"/>
              </w:rPr>
              <w:t>Emprendimiento cultural</w:t>
            </w:r>
          </w:p>
        </w:tc>
        <w:tc>
          <w:tcPr>
            <w:tcW w:w="1350" w:type="dxa"/>
            <w:vAlign w:val="center"/>
          </w:tcPr>
          <w:p w:rsidR="00814C1D" w:rsidRDefault="00FA5360">
            <w:pPr>
              <w:spacing w:line="360" w:lineRule="auto"/>
              <w:rPr>
                <w:color w:val="000000"/>
                <w:sz w:val="24"/>
                <w:szCs w:val="24"/>
              </w:rPr>
            </w:pPr>
            <w:r>
              <w:rPr>
                <w:color w:val="000000"/>
                <w:sz w:val="24"/>
                <w:szCs w:val="24"/>
              </w:rPr>
              <w:t>1 crédito</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BA005</w:t>
            </w:r>
          </w:p>
        </w:tc>
        <w:tc>
          <w:tcPr>
            <w:tcW w:w="6724" w:type="dxa"/>
            <w:vAlign w:val="center"/>
          </w:tcPr>
          <w:p w:rsidR="00814C1D" w:rsidRDefault="00FA5360">
            <w:pPr>
              <w:spacing w:line="360" w:lineRule="auto"/>
              <w:rPr>
                <w:color w:val="000000"/>
                <w:sz w:val="24"/>
                <w:szCs w:val="24"/>
              </w:rPr>
            </w:pPr>
            <w:r>
              <w:rPr>
                <w:color w:val="000000"/>
                <w:sz w:val="24"/>
                <w:szCs w:val="24"/>
              </w:rPr>
              <w:t>Educación sentimental y erotismo</w:t>
            </w:r>
          </w:p>
        </w:tc>
        <w:tc>
          <w:tcPr>
            <w:tcW w:w="1350" w:type="dxa"/>
            <w:vAlign w:val="center"/>
          </w:tcPr>
          <w:p w:rsidR="00814C1D" w:rsidRDefault="00FA5360">
            <w:pPr>
              <w:spacing w:line="360" w:lineRule="auto"/>
              <w:rPr>
                <w:color w:val="000000"/>
                <w:sz w:val="24"/>
                <w:szCs w:val="24"/>
              </w:rPr>
            </w:pPr>
            <w:r>
              <w:rPr>
                <w:color w:val="000000"/>
                <w:sz w:val="24"/>
                <w:szCs w:val="24"/>
              </w:rPr>
              <w:t>2 créditos</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BA019</w:t>
            </w:r>
          </w:p>
        </w:tc>
        <w:tc>
          <w:tcPr>
            <w:tcW w:w="6724" w:type="dxa"/>
            <w:vAlign w:val="center"/>
          </w:tcPr>
          <w:p w:rsidR="00814C1D" w:rsidRDefault="00FA5360">
            <w:pPr>
              <w:spacing w:line="360" w:lineRule="auto"/>
              <w:rPr>
                <w:color w:val="000000"/>
                <w:sz w:val="24"/>
                <w:szCs w:val="24"/>
              </w:rPr>
            </w:pPr>
            <w:r>
              <w:rPr>
                <w:color w:val="000000"/>
                <w:sz w:val="24"/>
                <w:szCs w:val="24"/>
              </w:rPr>
              <w:t>Análisis de emergencias discursivas</w:t>
            </w:r>
          </w:p>
        </w:tc>
        <w:tc>
          <w:tcPr>
            <w:tcW w:w="1350" w:type="dxa"/>
            <w:vAlign w:val="center"/>
          </w:tcPr>
          <w:p w:rsidR="00814C1D" w:rsidRDefault="00FA5360">
            <w:pPr>
              <w:spacing w:line="360" w:lineRule="auto"/>
              <w:rPr>
                <w:color w:val="000000"/>
                <w:sz w:val="24"/>
                <w:szCs w:val="24"/>
              </w:rPr>
            </w:pPr>
            <w:r>
              <w:rPr>
                <w:color w:val="000000"/>
                <w:sz w:val="24"/>
                <w:szCs w:val="24"/>
              </w:rPr>
              <w:t>1 crédito</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BA016</w:t>
            </w:r>
          </w:p>
        </w:tc>
        <w:tc>
          <w:tcPr>
            <w:tcW w:w="6724" w:type="dxa"/>
            <w:vAlign w:val="center"/>
          </w:tcPr>
          <w:p w:rsidR="00814C1D" w:rsidRDefault="00FA5360">
            <w:pPr>
              <w:spacing w:line="360" w:lineRule="auto"/>
              <w:rPr>
                <w:color w:val="000000"/>
                <w:sz w:val="24"/>
                <w:szCs w:val="24"/>
              </w:rPr>
            </w:pPr>
            <w:r>
              <w:rPr>
                <w:color w:val="000000"/>
                <w:sz w:val="24"/>
                <w:szCs w:val="24"/>
              </w:rPr>
              <w:t>Comunicación y cultura digital</w:t>
            </w:r>
          </w:p>
        </w:tc>
        <w:tc>
          <w:tcPr>
            <w:tcW w:w="1350" w:type="dxa"/>
            <w:vAlign w:val="center"/>
          </w:tcPr>
          <w:p w:rsidR="00814C1D" w:rsidRDefault="00FA5360">
            <w:pPr>
              <w:spacing w:line="360" w:lineRule="auto"/>
              <w:rPr>
                <w:color w:val="000000"/>
                <w:sz w:val="24"/>
                <w:szCs w:val="24"/>
              </w:rPr>
            </w:pPr>
            <w:r>
              <w:rPr>
                <w:color w:val="000000"/>
                <w:sz w:val="24"/>
                <w:szCs w:val="24"/>
              </w:rPr>
              <w:t>1 crédito</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BA017</w:t>
            </w:r>
          </w:p>
        </w:tc>
        <w:tc>
          <w:tcPr>
            <w:tcW w:w="6724" w:type="dxa"/>
            <w:vAlign w:val="center"/>
          </w:tcPr>
          <w:p w:rsidR="00814C1D" w:rsidRDefault="00FA5360">
            <w:pPr>
              <w:spacing w:line="360" w:lineRule="auto"/>
              <w:rPr>
                <w:color w:val="000000"/>
                <w:sz w:val="24"/>
                <w:szCs w:val="24"/>
              </w:rPr>
            </w:pPr>
            <w:r>
              <w:rPr>
                <w:color w:val="000000"/>
                <w:sz w:val="24"/>
                <w:szCs w:val="24"/>
              </w:rPr>
              <w:t>Didácticas de la ficción breve</w:t>
            </w:r>
          </w:p>
        </w:tc>
        <w:tc>
          <w:tcPr>
            <w:tcW w:w="1350" w:type="dxa"/>
            <w:vAlign w:val="center"/>
          </w:tcPr>
          <w:p w:rsidR="00814C1D" w:rsidRDefault="00FA5360">
            <w:pPr>
              <w:spacing w:line="360" w:lineRule="auto"/>
              <w:rPr>
                <w:color w:val="000000"/>
                <w:sz w:val="24"/>
                <w:szCs w:val="24"/>
              </w:rPr>
            </w:pPr>
            <w:r>
              <w:rPr>
                <w:color w:val="000000"/>
                <w:sz w:val="24"/>
                <w:szCs w:val="24"/>
              </w:rPr>
              <w:t>1 crédito</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BA018</w:t>
            </w:r>
          </w:p>
        </w:tc>
        <w:tc>
          <w:tcPr>
            <w:tcW w:w="6724" w:type="dxa"/>
            <w:vAlign w:val="center"/>
          </w:tcPr>
          <w:p w:rsidR="00814C1D" w:rsidRDefault="00FA5360">
            <w:pPr>
              <w:spacing w:line="360" w:lineRule="auto"/>
              <w:rPr>
                <w:color w:val="000000"/>
                <w:sz w:val="24"/>
                <w:szCs w:val="24"/>
              </w:rPr>
            </w:pPr>
            <w:r>
              <w:rPr>
                <w:color w:val="000000"/>
                <w:sz w:val="24"/>
                <w:szCs w:val="24"/>
              </w:rPr>
              <w:t xml:space="preserve">Narrativas excéntricas: de lo amerindio a lo </w:t>
            </w:r>
            <w:proofErr w:type="spellStart"/>
            <w:r>
              <w:rPr>
                <w:color w:val="000000"/>
                <w:sz w:val="24"/>
                <w:szCs w:val="24"/>
              </w:rPr>
              <w:t>queer</w:t>
            </w:r>
            <w:proofErr w:type="spellEnd"/>
          </w:p>
        </w:tc>
        <w:tc>
          <w:tcPr>
            <w:tcW w:w="1350" w:type="dxa"/>
            <w:vAlign w:val="center"/>
          </w:tcPr>
          <w:p w:rsidR="00814C1D" w:rsidRDefault="00FA5360">
            <w:pPr>
              <w:spacing w:line="360" w:lineRule="auto"/>
              <w:rPr>
                <w:color w:val="000000"/>
                <w:sz w:val="24"/>
                <w:szCs w:val="24"/>
              </w:rPr>
            </w:pPr>
            <w:r>
              <w:rPr>
                <w:color w:val="000000"/>
                <w:sz w:val="24"/>
                <w:szCs w:val="24"/>
              </w:rPr>
              <w:t>1 crédito</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BA009</w:t>
            </w:r>
          </w:p>
        </w:tc>
        <w:tc>
          <w:tcPr>
            <w:tcW w:w="6724" w:type="dxa"/>
            <w:vAlign w:val="center"/>
          </w:tcPr>
          <w:p w:rsidR="00814C1D" w:rsidRDefault="00FA5360">
            <w:pPr>
              <w:spacing w:line="360" w:lineRule="auto"/>
              <w:rPr>
                <w:color w:val="000000"/>
                <w:sz w:val="24"/>
                <w:szCs w:val="24"/>
              </w:rPr>
            </w:pPr>
            <w:r>
              <w:rPr>
                <w:color w:val="000000"/>
                <w:sz w:val="24"/>
                <w:szCs w:val="24"/>
              </w:rPr>
              <w:t>La experiencia ética del lector a partir de los personajes literarios</w:t>
            </w:r>
          </w:p>
        </w:tc>
        <w:tc>
          <w:tcPr>
            <w:tcW w:w="1350" w:type="dxa"/>
            <w:vAlign w:val="center"/>
          </w:tcPr>
          <w:p w:rsidR="00814C1D" w:rsidRDefault="00FA5360">
            <w:pPr>
              <w:spacing w:line="360" w:lineRule="auto"/>
              <w:rPr>
                <w:color w:val="000000"/>
                <w:sz w:val="24"/>
                <w:szCs w:val="24"/>
              </w:rPr>
            </w:pPr>
            <w:r>
              <w:rPr>
                <w:color w:val="000000"/>
                <w:sz w:val="24"/>
                <w:szCs w:val="24"/>
              </w:rPr>
              <w:t>1 crédito</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BA003</w:t>
            </w:r>
          </w:p>
        </w:tc>
        <w:tc>
          <w:tcPr>
            <w:tcW w:w="6724" w:type="dxa"/>
            <w:vAlign w:val="center"/>
          </w:tcPr>
          <w:p w:rsidR="00814C1D" w:rsidRDefault="00FA5360">
            <w:pPr>
              <w:spacing w:line="360" w:lineRule="auto"/>
              <w:rPr>
                <w:color w:val="000000"/>
                <w:sz w:val="24"/>
                <w:szCs w:val="24"/>
              </w:rPr>
            </w:pPr>
            <w:r>
              <w:rPr>
                <w:color w:val="000000"/>
                <w:sz w:val="24"/>
                <w:szCs w:val="24"/>
              </w:rPr>
              <w:t>El cuento breve: otras vías en la experiencia de acercamiento a la lectura y escritura</w:t>
            </w:r>
          </w:p>
        </w:tc>
        <w:tc>
          <w:tcPr>
            <w:tcW w:w="1350" w:type="dxa"/>
            <w:vAlign w:val="center"/>
          </w:tcPr>
          <w:p w:rsidR="00814C1D" w:rsidRDefault="00FA5360">
            <w:pPr>
              <w:spacing w:line="360" w:lineRule="auto"/>
              <w:rPr>
                <w:color w:val="000000"/>
                <w:sz w:val="24"/>
                <w:szCs w:val="24"/>
              </w:rPr>
            </w:pPr>
            <w:r>
              <w:rPr>
                <w:color w:val="000000"/>
                <w:sz w:val="24"/>
                <w:szCs w:val="24"/>
              </w:rPr>
              <w:t>2 créditos</w:t>
            </w:r>
          </w:p>
        </w:tc>
      </w:tr>
      <w:tr w:rsidR="00814C1D" w:rsidTr="00FA5360">
        <w:trPr>
          <w:trHeight w:val="540"/>
        </w:trPr>
        <w:tc>
          <w:tcPr>
            <w:tcW w:w="988" w:type="dxa"/>
            <w:vAlign w:val="center"/>
          </w:tcPr>
          <w:p w:rsidR="00814C1D" w:rsidRDefault="00FA5360">
            <w:pPr>
              <w:widowControl w:val="0"/>
              <w:spacing w:line="360" w:lineRule="auto"/>
              <w:rPr>
                <w:color w:val="000000"/>
                <w:sz w:val="24"/>
                <w:szCs w:val="24"/>
              </w:rPr>
            </w:pPr>
            <w:r>
              <w:rPr>
                <w:color w:val="000000"/>
                <w:sz w:val="24"/>
                <w:szCs w:val="24"/>
              </w:rPr>
              <w:t>BA002</w:t>
            </w:r>
          </w:p>
        </w:tc>
        <w:tc>
          <w:tcPr>
            <w:tcW w:w="6724" w:type="dxa"/>
            <w:vAlign w:val="center"/>
          </w:tcPr>
          <w:p w:rsidR="00814C1D" w:rsidRDefault="00FA5360">
            <w:pPr>
              <w:spacing w:line="360" w:lineRule="auto"/>
              <w:rPr>
                <w:color w:val="000000"/>
                <w:sz w:val="24"/>
                <w:szCs w:val="24"/>
              </w:rPr>
            </w:pPr>
            <w:r>
              <w:rPr>
                <w:color w:val="000000"/>
                <w:sz w:val="24"/>
                <w:szCs w:val="24"/>
              </w:rPr>
              <w:t>Aprendiendo a investigar. De la pregunta al anteproyecto</w:t>
            </w:r>
          </w:p>
        </w:tc>
        <w:tc>
          <w:tcPr>
            <w:tcW w:w="1350" w:type="dxa"/>
            <w:vAlign w:val="center"/>
          </w:tcPr>
          <w:p w:rsidR="00814C1D" w:rsidRDefault="00FA5360">
            <w:pPr>
              <w:spacing w:line="360" w:lineRule="auto"/>
              <w:rPr>
                <w:color w:val="000000"/>
                <w:sz w:val="24"/>
                <w:szCs w:val="24"/>
              </w:rPr>
            </w:pPr>
            <w:r>
              <w:rPr>
                <w:color w:val="000000"/>
                <w:sz w:val="24"/>
                <w:szCs w:val="24"/>
              </w:rPr>
              <w:t>2 crédi</w:t>
            </w:r>
            <w:r>
              <w:rPr>
                <w:color w:val="000000"/>
                <w:sz w:val="24"/>
                <w:szCs w:val="24"/>
              </w:rPr>
              <w:t>tos</w:t>
            </w:r>
          </w:p>
        </w:tc>
      </w:tr>
      <w:tr w:rsidR="00814C1D" w:rsidTr="00814C1D">
        <w:trPr>
          <w:trHeight w:val="825"/>
        </w:trPr>
        <w:tc>
          <w:tcPr>
            <w:tcW w:w="9062" w:type="dxa"/>
            <w:gridSpan w:val="3"/>
            <w:shd w:val="clear" w:color="auto" w:fill="E69138"/>
            <w:vAlign w:val="center"/>
          </w:tcPr>
          <w:p w:rsidR="00814C1D" w:rsidRDefault="00FA5360">
            <w:pPr>
              <w:spacing w:line="360" w:lineRule="auto"/>
              <w:jc w:val="center"/>
              <w:rPr>
                <w:b/>
                <w:sz w:val="28"/>
                <w:szCs w:val="28"/>
              </w:rPr>
            </w:pPr>
            <w:r>
              <w:rPr>
                <w:b/>
                <w:color w:val="FFFFFF"/>
                <w:sz w:val="28"/>
                <w:szCs w:val="28"/>
              </w:rPr>
              <w:t>Facultad de Ciencias de la Educación</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FIVA6</w:t>
            </w:r>
          </w:p>
        </w:tc>
        <w:tc>
          <w:tcPr>
            <w:tcW w:w="6724" w:type="dxa"/>
            <w:vAlign w:val="center"/>
          </w:tcPr>
          <w:p w:rsidR="00814C1D" w:rsidRDefault="00FA5360">
            <w:pPr>
              <w:spacing w:line="360" w:lineRule="auto"/>
              <w:rPr>
                <w:color w:val="000000"/>
                <w:sz w:val="24"/>
                <w:szCs w:val="24"/>
              </w:rPr>
            </w:pPr>
            <w:r>
              <w:rPr>
                <w:color w:val="000000"/>
                <w:sz w:val="24"/>
                <w:szCs w:val="24"/>
              </w:rPr>
              <w:t>Formación para el abordaje pedagógico de la xenofobia, el racismo y la discriminación étnico-racial en entornos escolares</w:t>
            </w:r>
          </w:p>
        </w:tc>
        <w:tc>
          <w:tcPr>
            <w:tcW w:w="1350" w:type="dxa"/>
            <w:vAlign w:val="center"/>
          </w:tcPr>
          <w:p w:rsidR="00814C1D" w:rsidRDefault="00FA5360">
            <w:pPr>
              <w:spacing w:line="360" w:lineRule="auto"/>
              <w:rPr>
                <w:color w:val="000000"/>
                <w:sz w:val="24"/>
                <w:szCs w:val="24"/>
              </w:rPr>
            </w:pPr>
            <w:r>
              <w:rPr>
                <w:color w:val="000000"/>
                <w:sz w:val="24"/>
                <w:szCs w:val="24"/>
              </w:rPr>
              <w:t>3 créditos</w:t>
            </w:r>
          </w:p>
        </w:tc>
      </w:tr>
      <w:tr w:rsidR="00814C1D" w:rsidTr="00FA5360">
        <w:tc>
          <w:tcPr>
            <w:tcW w:w="988" w:type="dxa"/>
            <w:vAlign w:val="center"/>
          </w:tcPr>
          <w:p w:rsidR="00814C1D" w:rsidRDefault="00FA5360">
            <w:pPr>
              <w:widowControl w:val="0"/>
              <w:spacing w:line="360" w:lineRule="auto"/>
              <w:rPr>
                <w:color w:val="000000"/>
                <w:sz w:val="24"/>
                <w:szCs w:val="24"/>
              </w:rPr>
            </w:pPr>
            <w:r>
              <w:rPr>
                <w:color w:val="000000"/>
                <w:sz w:val="24"/>
                <w:szCs w:val="24"/>
              </w:rPr>
              <w:t>FIVA7</w:t>
            </w:r>
          </w:p>
        </w:tc>
        <w:tc>
          <w:tcPr>
            <w:tcW w:w="6724" w:type="dxa"/>
            <w:vAlign w:val="center"/>
          </w:tcPr>
          <w:p w:rsidR="00814C1D" w:rsidRDefault="00FA5360">
            <w:pPr>
              <w:spacing w:line="360" w:lineRule="auto"/>
              <w:rPr>
                <w:color w:val="000000"/>
                <w:sz w:val="24"/>
                <w:szCs w:val="24"/>
              </w:rPr>
            </w:pPr>
            <w:r>
              <w:rPr>
                <w:color w:val="000000"/>
                <w:sz w:val="24"/>
                <w:szCs w:val="24"/>
              </w:rPr>
              <w:t>Pensamiento crítico y argumentación</w:t>
            </w:r>
          </w:p>
        </w:tc>
        <w:tc>
          <w:tcPr>
            <w:tcW w:w="1350" w:type="dxa"/>
            <w:vAlign w:val="center"/>
          </w:tcPr>
          <w:p w:rsidR="00814C1D" w:rsidRDefault="00FA5360">
            <w:pPr>
              <w:spacing w:line="360" w:lineRule="auto"/>
              <w:rPr>
                <w:color w:val="000000"/>
                <w:sz w:val="24"/>
                <w:szCs w:val="24"/>
              </w:rPr>
            </w:pPr>
            <w:r>
              <w:rPr>
                <w:color w:val="000000"/>
                <w:sz w:val="24"/>
                <w:szCs w:val="24"/>
              </w:rPr>
              <w:t>3 créditos</w:t>
            </w:r>
          </w:p>
        </w:tc>
      </w:tr>
    </w:tbl>
    <w:p w:rsidR="00814C1D" w:rsidRDefault="00FA5360">
      <w:pPr>
        <w:spacing w:before="120" w:after="120" w:line="240" w:lineRule="auto"/>
        <w:rPr>
          <w:sz w:val="24"/>
          <w:szCs w:val="24"/>
        </w:rPr>
      </w:pPr>
      <w:r>
        <w:rPr>
          <w:color w:val="000000"/>
          <w:sz w:val="24"/>
          <w:szCs w:val="24"/>
        </w:rPr>
        <w:t xml:space="preserve"> </w:t>
      </w:r>
    </w:p>
    <w:sectPr w:rsidR="00814C1D">
      <w:pgSz w:w="11910" w:h="16845"/>
      <w:pgMar w:top="426" w:right="1137"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E442B"/>
    <w:multiLevelType w:val="multilevel"/>
    <w:tmpl w:val="D20A8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2C45B6"/>
    <w:multiLevelType w:val="multilevel"/>
    <w:tmpl w:val="5A3E8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1D"/>
    <w:rsid w:val="00814C1D"/>
    <w:rsid w:val="00FA53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A2BED-B3ED-4986-A5E3-04918740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7concolores-nfasis3">
    <w:name w:val="Grid Table 7 Colorful Accent 3"/>
    <w:basedOn w:val="Tablanormal"/>
    <w:uiPriority w:val="52"/>
    <w:rsid w:val="00BF6F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1clara-nfasis3">
    <w:name w:val="Grid Table 1 Light Accent 3"/>
    <w:basedOn w:val="Tablanormal"/>
    <w:uiPriority w:val="46"/>
    <w:rsid w:val="00BF6F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03E96"/>
    <w:pPr>
      <w:ind w:left="720"/>
      <w:contextualSpacing/>
    </w:pPr>
  </w:style>
  <w:style w:type="table" w:styleId="Tablaconcuadrcula3-nfasis3">
    <w:name w:val="Grid Table 3 Accent 3"/>
    <w:basedOn w:val="Tablanormal"/>
    <w:uiPriority w:val="48"/>
    <w:rsid w:val="00EC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B7B7B"/>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0">
    <w:basedOn w:val="TableNormal"/>
    <w:pPr>
      <w:spacing w:after="0" w:line="240" w:lineRule="auto"/>
    </w:pPr>
    <w:rPr>
      <w:color w:val="7B7B7B"/>
    </w:rPr>
    <w:tblPr>
      <w:tblStyleRowBandSize w:val="1"/>
      <w:tblStyleColBandSize w:val="1"/>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Refdecomentario">
    <w:name w:val="annotation reference"/>
    <w:basedOn w:val="Fuentedeprrafopredeter"/>
    <w:uiPriority w:val="99"/>
    <w:semiHidden/>
    <w:unhideWhenUsed/>
    <w:rsid w:val="00FA5360"/>
    <w:rPr>
      <w:sz w:val="16"/>
      <w:szCs w:val="16"/>
    </w:rPr>
  </w:style>
  <w:style w:type="paragraph" w:styleId="Textocomentario">
    <w:name w:val="annotation text"/>
    <w:basedOn w:val="Normal"/>
    <w:link w:val="TextocomentarioCar"/>
    <w:uiPriority w:val="99"/>
    <w:semiHidden/>
    <w:unhideWhenUsed/>
    <w:rsid w:val="00FA53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5360"/>
    <w:rPr>
      <w:sz w:val="20"/>
      <w:szCs w:val="20"/>
    </w:rPr>
  </w:style>
  <w:style w:type="paragraph" w:styleId="Asuntodelcomentario">
    <w:name w:val="annotation subject"/>
    <w:basedOn w:val="Textocomentario"/>
    <w:next w:val="Textocomentario"/>
    <w:link w:val="AsuntodelcomentarioCar"/>
    <w:uiPriority w:val="99"/>
    <w:semiHidden/>
    <w:unhideWhenUsed/>
    <w:rsid w:val="00FA5360"/>
    <w:rPr>
      <w:b/>
      <w:bCs/>
    </w:rPr>
  </w:style>
  <w:style w:type="character" w:customStyle="1" w:styleId="AsuntodelcomentarioCar">
    <w:name w:val="Asunto del comentario Car"/>
    <w:basedOn w:val="TextocomentarioCar"/>
    <w:link w:val="Asuntodelcomentario"/>
    <w:uiPriority w:val="99"/>
    <w:semiHidden/>
    <w:rsid w:val="00FA5360"/>
    <w:rPr>
      <w:b/>
      <w:bCs/>
      <w:sz w:val="20"/>
      <w:szCs w:val="20"/>
    </w:rPr>
  </w:style>
  <w:style w:type="paragraph" w:styleId="Textodeglobo">
    <w:name w:val="Balloon Text"/>
    <w:basedOn w:val="Normal"/>
    <w:link w:val="TextodegloboCar"/>
    <w:uiPriority w:val="99"/>
    <w:semiHidden/>
    <w:unhideWhenUsed/>
    <w:rsid w:val="00FA53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360"/>
    <w:rPr>
      <w:rFonts w:ascii="Segoe UI" w:hAnsi="Segoe UI" w:cs="Segoe UI"/>
      <w:sz w:val="18"/>
      <w:szCs w:val="18"/>
    </w:rPr>
  </w:style>
  <w:style w:type="character" w:styleId="Hipervnculo">
    <w:name w:val="Hyperlink"/>
    <w:basedOn w:val="Fuentedeprrafopredeter"/>
    <w:uiPriority w:val="99"/>
    <w:unhideWhenUsed/>
    <w:rsid w:val="00FA5360"/>
    <w:rPr>
      <w:color w:val="0563C1" w:themeColor="hyperlink"/>
      <w:u w:val="single"/>
    </w:rPr>
  </w:style>
  <w:style w:type="character" w:styleId="Mencinsinresolver">
    <w:name w:val="Unresolved Mention"/>
    <w:basedOn w:val="Fuentedeprrafopredeter"/>
    <w:uiPriority w:val="99"/>
    <w:semiHidden/>
    <w:unhideWhenUsed/>
    <w:rsid w:val="00FA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log.utp.edu.co/renovacion-curricular/files/2024/08/Orientaciones-para-la-formacion-profesional-integral-Agosto-26.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utp.edu.co/renovacion-curricular/files/2024/08/Orientaciones-para-la-formacion-profesional-integral-Agosto-2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Zx8bdnZnhb4Xk7kkBArPLvxQ==">CgMxLjAyCGguZ2pkZ3hzOAByITFoWUpqTHhpRXE1VHdNbFZNZHhzMU5mOTBBc0tJQkY1Rw==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795</Words>
  <Characters>4374</Characters>
  <Application>Microsoft Office Word</Application>
  <DocSecurity>0</DocSecurity>
  <Lines>36</Lines>
  <Paragraphs>10</Paragraphs>
  <ScaleCrop>false</ScaleCrop>
  <Company>UTP</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Usuario UTP</cp:lastModifiedBy>
  <cp:revision>2</cp:revision>
  <dcterms:created xsi:type="dcterms:W3CDTF">2024-09-13T14:05:00Z</dcterms:created>
  <dcterms:modified xsi:type="dcterms:W3CDTF">2024-10-22T16:27:00Z</dcterms:modified>
</cp:coreProperties>
</file>