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-1080132</wp:posOffset>
            </wp:positionH>
            <wp:positionV relativeFrom="paragraph">
              <wp:posOffset>358140</wp:posOffset>
            </wp:positionV>
            <wp:extent cx="2886075" cy="934720"/>
            <wp:effectExtent b="0" l="0" r="0" t="0"/>
            <wp:wrapTopAndBottom distB="0" distT="0"/>
            <wp:docPr descr="cbf1c2b960f3577349323e830f5f75ec.png" id="11" name="image2.png"/>
            <a:graphic>
              <a:graphicData uri="http://schemas.openxmlformats.org/drawingml/2006/picture">
                <pic:pic>
                  <pic:nvPicPr>
                    <pic:cNvPr descr="cbf1c2b960f3577349323e830f5f75ec.png" id="0" name="image2.png"/>
                    <pic:cNvPicPr preferRelativeResize="0"/>
                  </pic:nvPicPr>
                  <pic:blipFill>
                    <a:blip r:embed="rId7"/>
                    <a:srcRect b="0" l="0" r="6182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934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1805939</wp:posOffset>
            </wp:positionH>
            <wp:positionV relativeFrom="paragraph">
              <wp:posOffset>358140</wp:posOffset>
            </wp:positionV>
            <wp:extent cx="4321810" cy="934720"/>
            <wp:effectExtent b="0" l="0" r="0" t="0"/>
            <wp:wrapTopAndBottom distB="0" distT="0"/>
            <wp:docPr descr="cbf1c2b960f3577349323e830f5f75ec.png" id="13" name="image2.png"/>
            <a:graphic>
              <a:graphicData uri="http://schemas.openxmlformats.org/drawingml/2006/picture">
                <pic:pic>
                  <pic:nvPicPr>
                    <pic:cNvPr descr="cbf1c2b960f3577349323e830f5f75ec.png" id="0" name="image2.png"/>
                    <pic:cNvPicPr preferRelativeResize="0"/>
                  </pic:nvPicPr>
                  <pic:blipFill>
                    <a:blip r:embed="rId7"/>
                    <a:srcRect b="0" l="4283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934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6121399</wp:posOffset>
            </wp:positionH>
            <wp:positionV relativeFrom="paragraph">
              <wp:posOffset>358140</wp:posOffset>
            </wp:positionV>
            <wp:extent cx="353053" cy="934968"/>
            <wp:effectExtent b="0" l="0" r="0" t="0"/>
            <wp:wrapTopAndBottom distB="0" distT="0"/>
            <wp:docPr descr="cbf1c2b960f3577349323e830f5f75ec.png" id="12" name="image2.png"/>
            <a:graphic>
              <a:graphicData uri="http://schemas.openxmlformats.org/drawingml/2006/picture">
                <pic:pic>
                  <pic:nvPicPr>
                    <pic:cNvPr descr="cbf1c2b960f3577349323e830f5f75ec.png" id="0" name="image2.png"/>
                    <pic:cNvPicPr preferRelativeResize="0"/>
                  </pic:nvPicPr>
                  <pic:blipFill>
                    <a:blip r:embed="rId7"/>
                    <a:srcRect b="0" l="9533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53" cy="9349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120" w:lineRule="auto"/>
        <w:rPr>
          <w:rFonts w:ascii="Arial Narrow" w:cs="Arial Narrow" w:eastAsia="Arial Narrow" w:hAnsi="Arial Narrow"/>
          <w:b w:val="1"/>
          <w:color w:val="00b176"/>
          <w:sz w:val="56"/>
          <w:szCs w:val="56"/>
        </w:rPr>
      </w:pPr>
      <w:r w:rsidDel="00000000" w:rsidR="00000000" w:rsidRPr="00000000">
        <w:rPr/>
        <w:drawing>
          <wp:inline distB="0" distT="0" distL="0" distR="0">
            <wp:extent cx="2663190" cy="1057275"/>
            <wp:effectExtent b="0" l="0" r="0" t="0"/>
            <wp:docPr descr="5512bd2881ddb998cf3716d132bda449.png" id="14" name="image1.png"/>
            <a:graphic>
              <a:graphicData uri="http://schemas.openxmlformats.org/drawingml/2006/picture">
                <pic:pic>
                  <pic:nvPicPr>
                    <pic:cNvPr descr="5512bd2881ddb998cf3716d132bda449.png" id="0" name="image1.png"/>
                    <pic:cNvPicPr preferRelativeResize="0"/>
                  </pic:nvPicPr>
                  <pic:blipFill>
                    <a:blip r:embed="rId8"/>
                    <a:srcRect b="7171" l="19877" r="13550" t="24300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rPr>
          <w:color w:val="666666"/>
          <w:sz w:val="50"/>
          <w:szCs w:val="50"/>
        </w:rPr>
      </w:pPr>
      <w:r w:rsidDel="00000000" w:rsidR="00000000" w:rsidRPr="00000000">
        <w:rPr>
          <w:b w:val="1"/>
          <w:color w:val="666666"/>
          <w:sz w:val="50"/>
          <w:szCs w:val="50"/>
          <w:rtl w:val="0"/>
        </w:rPr>
        <w:t xml:space="preserve">Guía académica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rPr>
          <w:color w:val="e69138"/>
          <w:sz w:val="50"/>
          <w:szCs w:val="5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666666"/>
          <w:sz w:val="50"/>
          <w:szCs w:val="50"/>
          <w:rtl w:val="0"/>
        </w:rPr>
        <w:t xml:space="preserve">Definición de la Formación Profesional Integral FPI, de los programas académicos de pregrado </w:t>
      </w:r>
      <w:r w:rsidDel="00000000" w:rsidR="00000000" w:rsidRPr="00000000">
        <w:rPr>
          <w:b w:val="1"/>
          <w:color w:val="666666"/>
          <w:sz w:val="50"/>
          <w:szCs w:val="50"/>
          <w:highlight w:val="white"/>
          <w:rtl w:val="0"/>
        </w:rPr>
        <w:t xml:space="preserve">y posgrado</w:t>
      </w:r>
      <w:r w:rsidDel="00000000" w:rsidR="00000000" w:rsidRPr="00000000">
        <w:rPr>
          <w:b w:val="1"/>
          <w:color w:val="666666"/>
          <w:sz w:val="48"/>
          <w:szCs w:val="48"/>
          <w:highlight w:val="white"/>
          <w:rtl w:val="0"/>
        </w:rPr>
        <w:t xml:space="preserve"> </w:t>
      </w:r>
      <w:r w:rsidDel="00000000" w:rsidR="00000000" w:rsidRPr="00000000">
        <w:rPr>
          <w:b w:val="1"/>
          <w:color w:val="c45911"/>
          <w:sz w:val="52"/>
          <w:szCs w:val="5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3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3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guía tiene como objetivo facilitar a los programas académicos de pregrado </w:t>
      </w:r>
      <w:r w:rsidDel="00000000" w:rsidR="00000000" w:rsidRPr="00000000">
        <w:rPr>
          <w:rtl w:val="0"/>
        </w:rPr>
        <w:t xml:space="preserve">y posgrado </w:t>
      </w:r>
      <w:r w:rsidDel="00000000" w:rsidR="00000000" w:rsidRPr="00000000">
        <w:rPr>
          <w:sz w:val="24"/>
          <w:szCs w:val="24"/>
          <w:rtl w:val="0"/>
        </w:rPr>
        <w:t xml:space="preserve">la reflexión y definición de la formación integral en las propuestas curriculares, de acuerdo con lo establecido en la política académica curricular (Acuerdo 044 de 2020).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Dicho acuerdo indica que los créditos académicos para la formación integral deben estar distribuidos en las cuatro dimensiones de la siguiente manera: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Programas de pregrado: entre el 8 y el 15% del total de los créditos del programa.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Programas de posgrado: entre el 4 y el 8% del total de los créditos del programa.</w:t>
      </w:r>
    </w:p>
    <w:p w:rsidR="00000000" w:rsidDel="00000000" w:rsidP="00000000" w:rsidRDefault="00000000" w:rsidRPr="00000000" w14:paraId="0000000A">
      <w:pPr>
        <w:spacing w:after="120" w:before="120" w:line="33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 guía se presenta una síntesis de la reflexión teórica sobre cada una de las dimensiones que conforman la propuesta de formación integral (formación humana, </w:t>
      </w:r>
      <w:r w:rsidDel="00000000" w:rsidR="00000000" w:rsidRPr="00000000">
        <w:rPr>
          <w:sz w:val="24"/>
          <w:szCs w:val="24"/>
          <w:rtl w:val="0"/>
        </w:rPr>
        <w:t xml:space="preserve">pensamiento crítico, ciudadanía y democracia y, compromiso con la sostenibilidad ambiental</w:t>
      </w:r>
      <w:r w:rsidDel="00000000" w:rsidR="00000000" w:rsidRPr="00000000">
        <w:rPr>
          <w:sz w:val="24"/>
          <w:szCs w:val="24"/>
          <w:rtl w:val="0"/>
        </w:rPr>
        <w:t xml:space="preserve">). En cada dimensión se presenta el objetivo de formación y el resultado de aprendizaje institucional con </w:t>
      </w:r>
      <w:r w:rsidDel="00000000" w:rsidR="00000000" w:rsidRPr="00000000">
        <w:rPr>
          <w:highlight w:val="white"/>
          <w:rtl w:val="0"/>
        </w:rPr>
        <w:t xml:space="preserve">la respectiva propuesta de </w:t>
      </w:r>
      <w:r w:rsidDel="00000000" w:rsidR="00000000" w:rsidRPr="00000000">
        <w:rPr>
          <w:sz w:val="24"/>
          <w:szCs w:val="24"/>
          <w:rtl w:val="0"/>
        </w:rPr>
        <w:t xml:space="preserve">indicadores de desempeño, así como el porcentaje de créditos académicos que debe cubrir el programa.</w:t>
      </w:r>
    </w:p>
    <w:p w:rsidR="00000000" w:rsidDel="00000000" w:rsidP="00000000" w:rsidRDefault="00000000" w:rsidRPr="00000000" w14:paraId="0000000B">
      <w:pPr>
        <w:spacing w:after="120" w:before="120" w:line="33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base en la propuesta institucional, cada programa debe presentar el objetivo(s) de formación y el resultado(s) de aprendizaje con el/los que se integra la formación profesional integral (FPI) a la malla curricular y a los micro currículos en los que se propone desarrollar cada una de las dimensiones.</w:t>
      </w:r>
    </w:p>
    <w:p w:rsidR="00000000" w:rsidDel="00000000" w:rsidP="00000000" w:rsidRDefault="00000000" w:rsidRPr="00000000" w14:paraId="0000000C">
      <w:pPr>
        <w:spacing w:after="120" w:before="120" w:line="33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Finalmente, se presenta la oferta institucional </w:t>
      </w:r>
      <w:r w:rsidDel="00000000" w:rsidR="00000000" w:rsidRPr="00000000">
        <w:rPr>
          <w:rtl w:val="0"/>
        </w:rPr>
        <w:t xml:space="preserve">para los programas de pregrado con las</w:t>
      </w:r>
      <w:r w:rsidDel="00000000" w:rsidR="00000000" w:rsidRPr="00000000">
        <w:rPr>
          <w:sz w:val="24"/>
          <w:szCs w:val="24"/>
          <w:rtl w:val="0"/>
        </w:rPr>
        <w:t xml:space="preserve"> asignaturas que pueden ser tenidas en cuenta por los programas de manera total o parcial en la renovación curricular. En caso de que los programas tengan una oferta propia para el desarrollo de las distintas dimensiones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esta también debe quedar explícita en la propuesta curricular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120" w:before="120" w:line="33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propuesta completa puede ser consultada en el micrositio del Sistema Interno de Aseguramiento de la Calidad Académica (SIAC), en el siguiente link: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https://blog.utp.edu.co/renovacion-curricular/files/2025/07/ORIENTACIONES-FORMACION-PROFESIONAL-INTEGRAL-PREGRADO-23-05-25.pptx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36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3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 la Universidad la </w:t>
      </w:r>
      <w:r w:rsidDel="00000000" w:rsidR="00000000" w:rsidRPr="00000000">
        <w:rPr>
          <w:b w:val="1"/>
          <w:color w:val="e69138"/>
          <w:sz w:val="24"/>
          <w:szCs w:val="24"/>
          <w:rtl w:val="0"/>
        </w:rPr>
        <w:t xml:space="preserve">DIMENSIÓN DE FORMACIÓN EN PENSAMIENTO CRÍTICO</w:t>
      </w:r>
      <w:r w:rsidDel="00000000" w:rsidR="00000000" w:rsidRPr="00000000">
        <w:rPr>
          <w:color w:val="b45f06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comprende los siguientes aspectos: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alfabetización académica (literacidad crítica)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escritura como proceso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lectura crítica y productiva (alfabetización crítica y compromiso con la acción social)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escucha activa y la oralidad.</w:t>
      </w:r>
    </w:p>
    <w:p w:rsidR="00000000" w:rsidDel="00000000" w:rsidP="00000000" w:rsidRDefault="00000000" w:rsidRPr="00000000" w14:paraId="00000014">
      <w:pPr>
        <w:spacing w:after="120" w:before="120" w:line="33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 horizonte de esta dimensión busca fortalecer en los estudiantes y egresados la adquisición de herramientas teóricas y prácticas para identificar, analizar, procesar, interpretar información en contexto, tomar decisiones y actuar con posturas fundamentadas y conscientes.</w:t>
      </w:r>
    </w:p>
    <w:p w:rsidR="00000000" w:rsidDel="00000000" w:rsidP="00000000" w:rsidRDefault="00000000" w:rsidRPr="00000000" w14:paraId="00000015">
      <w:pPr>
        <w:spacing w:after="120" w:before="120" w:line="33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caso de los programas de pregrado que no se acojan a la oferta institucional, deberán presentar su propuesta de formación integral en la siguiente tabla; así mismo, todos los programas de posgrado presentarán su oferta en ésta misma tabla:</w:t>
      </w:r>
    </w:p>
    <w:tbl>
      <w:tblPr>
        <w:tblStyle w:val="Table1"/>
        <w:tblW w:w="9090.0" w:type="dxa"/>
        <w:jc w:val="left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A0"/>
      </w:tblPr>
      <w:tblGrid>
        <w:gridCol w:w="2445"/>
        <w:gridCol w:w="1635"/>
        <w:gridCol w:w="1815"/>
        <w:gridCol w:w="1575"/>
        <w:gridCol w:w="1620"/>
        <w:tblGridChange w:id="0">
          <w:tblGrid>
            <w:gridCol w:w="2445"/>
            <w:gridCol w:w="1635"/>
            <w:gridCol w:w="1815"/>
            <w:gridCol w:w="1575"/>
            <w:gridCol w:w="16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Objetivo institucional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Aportar elementos de orden teórico y práctico para que los estudiantes y los miembros de la comunidad educativa aprendan a identificar, analizar, procesar e interpretar la información, de manera que puedan asumir posturas razonadas y conscientes en la toma de decisiones.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Resultado de aprendizaje institucional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El estudiante y el egresado de la Universidad analiza con profundidad la información procedente de diferentes fuentes, toma una posición fundamentada, sustentada en argumentos y puede usarla de manera pertinente, flexible y creativa en contextos concretos.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5"/>
            <w:shd w:fill="e69138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Formación profesional integral en el programa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Objetivo del programa: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sz w:val="24"/>
                <w:szCs w:val="24"/>
                <w:rtl w:val="0"/>
              </w:rPr>
              <w:t xml:space="preserve">Resultado de aprendizaje del programa:</w:t>
            </w:r>
          </w:p>
        </w:tc>
      </w:tr>
      <w:tr>
        <w:trPr>
          <w:cantSplit w:val="0"/>
          <w:trHeight w:val="1699.5703125000002" w:hRule="atLeast"/>
          <w:tblHeader w:val="0"/>
        </w:trPr>
        <w:tc>
          <w:tcPr>
            <w:shd w:fill="e69138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Indicadores de desempeño</w:t>
            </w:r>
          </w:p>
        </w:tc>
        <w:tc>
          <w:tcPr>
            <w:shd w:fill="e69138" w:val="clear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Objetivo/s de la asignatura</w:t>
            </w:r>
          </w:p>
        </w:tc>
        <w:tc>
          <w:tcPr>
            <w:shd w:fill="e69138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Resultado/s de aprendizaje de la asignatura, curso o seminario</w:t>
            </w:r>
          </w:p>
        </w:tc>
        <w:tc>
          <w:tcPr>
            <w:shd w:fill="e69138" w:val="clear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Nombre de las asignaturas, cursos o seminarios</w:t>
            </w:r>
          </w:p>
        </w:tc>
        <w:tc>
          <w:tcPr>
            <w:shd w:fill="e69138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Número de créditos de las asignaturas, cursos o seminarios</w:t>
            </w:r>
          </w:p>
        </w:tc>
      </w:tr>
      <w:tr>
        <w:trPr>
          <w:cantSplit w:val="0"/>
          <w:trHeight w:val="59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64" w:hanging="16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Abstrae, analiza y sintetiza información de diferentes fuentes.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6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164" w:hanging="16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Procesa información oral, escrita, visual y audiovisual de manera coherente y pertinente.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164" w:hanging="16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Busca, procesa y produce información proveniente de diversas fuentes o de diversos modelos de realidad.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164" w:hanging="16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Evalúa distintas ideas y razonamientos con respecto a estándares específicos.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Anexar los microcurrículos de las asignaturas, cursos o seminarios que corresponden a esta propuesta de formación integral (ver Guía 1, fase C). </w:t>
      </w:r>
    </w:p>
    <w:p w:rsidR="00000000" w:rsidDel="00000000" w:rsidP="00000000" w:rsidRDefault="00000000" w:rsidRPr="00000000" w14:paraId="00000046">
      <w:pPr>
        <w:spacing w:after="120" w:before="120" w:line="240" w:lineRule="auto"/>
        <w:rPr>
          <w:b w:val="1"/>
          <w:color w:val="e69138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rPr>
          <w:color w:val="e69138"/>
          <w:sz w:val="40"/>
          <w:szCs w:val="40"/>
        </w:rPr>
      </w:pPr>
      <w:r w:rsidDel="00000000" w:rsidR="00000000" w:rsidRPr="00000000">
        <w:rPr>
          <w:b w:val="1"/>
          <w:color w:val="e69138"/>
          <w:sz w:val="40"/>
          <w:szCs w:val="40"/>
          <w:rtl w:val="0"/>
        </w:rPr>
        <w:t xml:space="preserve">Oferta institucional </w:t>
      </w:r>
      <w:r w:rsidDel="00000000" w:rsidR="00000000" w:rsidRPr="00000000">
        <w:rPr>
          <w:b w:val="1"/>
          <w:color w:val="e69138"/>
          <w:sz w:val="40"/>
          <w:szCs w:val="40"/>
          <w:highlight w:val="white"/>
          <w:rtl w:val="0"/>
        </w:rPr>
        <w:t xml:space="preserve">de pregrado </w:t>
      </w:r>
      <w:r w:rsidDel="00000000" w:rsidR="00000000" w:rsidRPr="00000000">
        <w:rPr>
          <w:b w:val="1"/>
          <w:color w:val="e69138"/>
          <w:sz w:val="40"/>
          <w:szCs w:val="40"/>
          <w:rtl w:val="0"/>
        </w:rPr>
        <w:t xml:space="preserve">para la dimensión de Pensamiento Crítico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600"/>
      </w:tblPr>
      <w:tblGrid>
        <w:gridCol w:w="988"/>
        <w:gridCol w:w="6724"/>
        <w:gridCol w:w="1350"/>
        <w:tblGridChange w:id="0">
          <w:tblGrid>
            <w:gridCol w:w="988"/>
            <w:gridCol w:w="6724"/>
            <w:gridCol w:w="135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3"/>
            <w:shd w:fill="e69138" w:val="clear"/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aso22pj8mfaq" w:id="1"/>
            <w:bookmarkEnd w:id="1"/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Departamento de Humanidades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360" w:lineRule="auto"/>
              <w:jc w:val="center"/>
              <w:rPr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34343"/>
                <w:sz w:val="24"/>
                <w:szCs w:val="24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jc w:val="center"/>
              <w:rPr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34343"/>
                <w:sz w:val="24"/>
                <w:szCs w:val="24"/>
                <w:rtl w:val="0"/>
              </w:rPr>
              <w:t xml:space="preserve">Asignatura o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jc w:val="center"/>
              <w:rPr>
                <w:b w:val="1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34343"/>
                <w:sz w:val="24"/>
                <w:szCs w:val="24"/>
                <w:rtl w:val="0"/>
              </w:rPr>
              <w:t xml:space="preserve">No. de créditos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BA132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Expresión oral y escrita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BA153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Comunicación oral y escrita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BA252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Comunicación oral y escrita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BA122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Metodología de la investigación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créditos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Taller de lectura y escritura académica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crédito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Emprendimiento 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crédito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Educación sentimental y erotismo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créditos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Análisis de emergencias discursivas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crédito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Comunicación y cultura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crédito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Didácticas de la ficción breve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crédito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Narrativas excéntricas: de lo amerindio a lo queer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crédito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La experiencia ética del lector a partir de los personajes literarios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crédito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El cuento breve: otras vías en la experiencia de acercamiento a la lectura y escritura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créditos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BA002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Aprendiendo a investigar. De la pregunta al anteproyecto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créditos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3"/>
            <w:shd w:fill="e69138" w:val="clear"/>
            <w:vAlign w:val="cente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Facultad de Ciencias de la Educación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FIVA6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Formación para el abordaje pedagógico de la xenofobia, el racismo y la discriminación étnico-racial en entornos escolares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 créditos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FIVA7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Pensamiento crítico y argumentación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 créditos</w:t>
            </w:r>
          </w:p>
        </w:tc>
      </w:tr>
    </w:tbl>
    <w:p w:rsidR="00000000" w:rsidDel="00000000" w:rsidP="00000000" w:rsidRDefault="00000000" w:rsidRPr="00000000" w14:paraId="00000081">
      <w:pP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5" w:w="11910" w:orient="portrait"/>
      <w:pgMar w:bottom="1417" w:top="426" w:left="1701" w:right="11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7concolores-nfasis3">
    <w:name w:val="Grid Table 7 Colorful Accent 3"/>
    <w:basedOn w:val="Tablanormal"/>
    <w:uiPriority w:val="52"/>
    <w:rsid w:val="00BF6F04"/>
    <w:pPr>
      <w:spacing w:after="0" w:line="240" w:lineRule="auto"/>
    </w:pPr>
    <w:rPr>
      <w:color w:val="7b7b7b" w:themeColor="accent3" w:themeShade="0000BF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F6F04"/>
    <w:pPr>
      <w:spacing w:after="0" w:line="240" w:lineRule="auto"/>
    </w:pPr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Prrafodelista">
    <w:name w:val="List Paragraph"/>
    <w:basedOn w:val="Normal"/>
    <w:uiPriority w:val="34"/>
    <w:qFormat w:val="1"/>
    <w:rsid w:val="00503E96"/>
    <w:pPr>
      <w:ind w:left="720"/>
      <w:contextualSpacing w:val="1"/>
    </w:pPr>
  </w:style>
  <w:style w:type="table" w:styleId="Tablaconcuadrcula3-nfasis3">
    <w:name w:val="Grid Table 3 Accent 3"/>
    <w:basedOn w:val="Tablanormal"/>
    <w:uiPriority w:val="48"/>
    <w:rsid w:val="00EC68BE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a" w:customStyle="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c9c9c9" w:space="0" w:sz="12" w:val="single"/>
        </w:tcBorders>
      </w:tcPr>
    </w:tblStylePr>
    <w:tblStylePr w:type="lastRow">
      <w:rPr>
        <w:b w:val="1"/>
      </w:rPr>
      <w:tblPr/>
      <w:tcPr>
        <w:tcBorders>
          <w:top w:color="c9c9c9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0" w:customStyle="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pPr>
        <w:jc w:val="right"/>
      </w:pPr>
      <w:rPr>
        <w:i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i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shd w:color="auto" w:fill="ededed" w:val="clear"/>
      </w:tcPr>
    </w:tblStylePr>
    <w:tblStylePr w:type="band1Horz">
      <w:tblPr/>
      <w:tcPr>
        <w:shd w:color="auto" w:fill="ededed" w:val="clear"/>
      </w:tcPr>
    </w:tblStylePr>
    <w:tblStylePr w:type="neCell">
      <w:tblPr/>
      <w:tcPr>
        <w:tcBorders>
          <w:bottom w:color="c9c9c9" w:space="0" w:sz="4" w:val="single"/>
        </w:tcBorders>
      </w:tcPr>
    </w:tblStylePr>
    <w:tblStylePr w:type="nwCell">
      <w:tblPr/>
      <w:tcPr>
        <w:tcBorders>
          <w:bottom w:color="c9c9c9" w:space="0" w:sz="4" w:val="single"/>
        </w:tcBorders>
      </w:tcPr>
    </w:tblStylePr>
    <w:tblStylePr w:type="seCell">
      <w:tblPr/>
      <w:tcPr>
        <w:tcBorders>
          <w:top w:color="c9c9c9" w:space="0" w:sz="4" w:val="single"/>
        </w:tcBorders>
      </w:tcPr>
    </w:tblStylePr>
    <w:tblStylePr w:type="swCell">
      <w:tblPr/>
      <w:tcPr>
        <w:tcBorders>
          <w:top w:color="c9c9c9" w:space="0" w:sz="4" w:val="single"/>
        </w:tcBorders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A53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A536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A53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A536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A5360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536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5360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FA53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A5360"/>
    <w:rPr>
      <w:color w:val="605e5c"/>
      <w:shd w:color="auto" w:fill="e1dfdd" w:val="clear"/>
    </w:rPr>
  </w:style>
  <w:style w:type="character" w:styleId="normaltextrun" w:customStyle="1">
    <w:name w:val="normaltextrun"/>
    <w:basedOn w:val="Fuentedeprrafopredeter"/>
    <w:rsid w:val="00CD59F3"/>
  </w:style>
  <w:style w:type="character" w:styleId="eop" w:customStyle="1">
    <w:name w:val="eop"/>
    <w:basedOn w:val="Fuentedeprrafopredeter"/>
    <w:rsid w:val="00A17986"/>
  </w:style>
  <w:style w:type="table" w:styleId="Table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c9c9c9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c9c9c9" w:space="0" w:sz="4" w:val="single"/>
        </w:tcBorders>
      </w:tcPr>
    </w:tblStylePr>
    <w:tblStylePr w:type="nwCell">
      <w:tcPr>
        <w:tcBorders>
          <w:bottom w:color="c9c9c9" w:space="0" w:sz="4" w:val="single"/>
        </w:tcBorders>
      </w:tcPr>
    </w:tblStylePr>
    <w:tblStylePr w:type="seCell">
      <w:tcPr>
        <w:tcBorders>
          <w:top w:color="c9c9c9" w:space="0" w:sz="4" w:val="single"/>
        </w:tcBorders>
      </w:tcPr>
    </w:tblStylePr>
    <w:tblStylePr w:type="swCell">
      <w:tcPr>
        <w:tcBorders>
          <w:top w:color="c9c9c9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c9c9c9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c9c9c9" w:space="0" w:sz="4" w:val="single"/>
        </w:tcBorders>
      </w:tcPr>
    </w:tblStylePr>
    <w:tblStylePr w:type="nwCell">
      <w:tcPr>
        <w:tcBorders>
          <w:bottom w:color="c9c9c9" w:space="0" w:sz="4" w:val="single"/>
        </w:tcBorders>
      </w:tcPr>
    </w:tblStylePr>
    <w:tblStylePr w:type="seCell">
      <w:tcPr>
        <w:tcBorders>
          <w:top w:color="c9c9c9" w:space="0" w:sz="4" w:val="single"/>
        </w:tcBorders>
      </w:tcPr>
    </w:tblStylePr>
    <w:tblStylePr w:type="swCell">
      <w:tcPr>
        <w:tcBorders>
          <w:top w:color="c9c9c9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utp.edu.co/renovacion-curricular/files/2025/07/ORIENTACIONES-FORMACION-PROFESIONAL-INTEGRAL-PREGRADO-23-05-25.ppt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eiiYmCp7aGx74b01zW2CjFFfg==">CgMxLjAyCGguZ2pkZ3hzMg5oLmFzbzIycGo4bWZhcTgAciExVnFha2dNZ2tDYV9GNnpkTG1qWEFPbUJMcjdVa0pSWnc=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2025-06-09T14:44:00Z</dcterms:created>
  <dc:creator>Apache POI</dc:creator>
</cp:coreProperties>
</file>