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7012D5" w:rsidTr="00E74783">
        <w:tc>
          <w:tcPr>
            <w:tcW w:w="3369" w:type="dxa"/>
            <w:shd w:val="clear" w:color="auto" w:fill="9CC2E5" w:themeFill="accent1" w:themeFillTint="99"/>
          </w:tcPr>
          <w:p w:rsidR="007012D5" w:rsidRDefault="007012D5" w:rsidP="007012D5">
            <w:pPr>
              <w:jc w:val="center"/>
            </w:pPr>
            <w:r>
              <w:t>Componente</w:t>
            </w:r>
          </w:p>
        </w:tc>
        <w:tc>
          <w:tcPr>
            <w:tcW w:w="5609" w:type="dxa"/>
            <w:shd w:val="clear" w:color="auto" w:fill="9CC2E5" w:themeFill="accent1" w:themeFillTint="99"/>
          </w:tcPr>
          <w:p w:rsidR="007012D5" w:rsidRDefault="007012D5" w:rsidP="007012D5">
            <w:pPr>
              <w:jc w:val="center"/>
            </w:pPr>
            <w:r>
              <w:t>Descripción</w:t>
            </w:r>
          </w:p>
        </w:tc>
      </w:tr>
      <w:tr w:rsidR="007012D5" w:rsidTr="00E74783">
        <w:tc>
          <w:tcPr>
            <w:tcW w:w="3369" w:type="dxa"/>
          </w:tcPr>
          <w:p w:rsidR="007012D5" w:rsidRDefault="007012D5" w:rsidP="007012D5">
            <w:pPr>
              <w:jc w:val="both"/>
            </w:pPr>
            <w:r>
              <w:t>Arquitectura institucional y política pública</w:t>
            </w:r>
          </w:p>
        </w:tc>
        <w:tc>
          <w:tcPr>
            <w:tcW w:w="5609" w:type="dxa"/>
          </w:tcPr>
          <w:p w:rsidR="007012D5" w:rsidRDefault="00E74783" w:rsidP="007012D5">
            <w:pPr>
              <w:jc w:val="both"/>
            </w:pPr>
            <w:r w:rsidRPr="00E74783">
              <w:t>Se entiende por arquitectura institucional, el conjunto de normas, actores, relaciones, formas de organización, procesos y procedimientos responsables del cumplimiento de los objetivos misionales.</w:t>
            </w:r>
          </w:p>
        </w:tc>
      </w:tr>
      <w:tr w:rsidR="007012D5" w:rsidTr="00E74783">
        <w:tc>
          <w:tcPr>
            <w:tcW w:w="3369" w:type="dxa"/>
          </w:tcPr>
          <w:p w:rsidR="007012D5" w:rsidRDefault="007012D5" w:rsidP="007012D5">
            <w:pPr>
              <w:jc w:val="both"/>
            </w:pPr>
            <w:r>
              <w:t>Atención integral</w:t>
            </w:r>
          </w:p>
        </w:tc>
        <w:tc>
          <w:tcPr>
            <w:tcW w:w="5609" w:type="dxa"/>
          </w:tcPr>
          <w:p w:rsidR="007012D5" w:rsidRDefault="00E74783" w:rsidP="007012D5">
            <w:pPr>
              <w:jc w:val="both"/>
            </w:pPr>
            <w:r>
              <w:t xml:space="preserve">Corresponden a los bienes y servicios que se ofertan desde las entidades públicas y privadas con el fin de garantizar los derechos humanos de la población. </w:t>
            </w:r>
          </w:p>
        </w:tc>
      </w:tr>
      <w:tr w:rsidR="007012D5" w:rsidTr="00E74783">
        <w:tc>
          <w:tcPr>
            <w:tcW w:w="3369" w:type="dxa"/>
          </w:tcPr>
          <w:p w:rsidR="007012D5" w:rsidRDefault="007012D5" w:rsidP="007012D5">
            <w:pPr>
              <w:jc w:val="both"/>
            </w:pPr>
            <w:r>
              <w:t>Movilización social y participación ciudadana</w:t>
            </w:r>
          </w:p>
        </w:tc>
        <w:tc>
          <w:tcPr>
            <w:tcW w:w="5609" w:type="dxa"/>
          </w:tcPr>
          <w:p w:rsidR="007012D5" w:rsidRDefault="00E74783" w:rsidP="007012D5">
            <w:pPr>
              <w:jc w:val="both"/>
            </w:pPr>
            <w:r>
              <w:t xml:space="preserve">Corresponde a los mecanismos destinados a garantizar la participación e incidencia de la población joven en las decisiones de que les afectan. </w:t>
            </w:r>
          </w:p>
        </w:tc>
      </w:tr>
      <w:tr w:rsidR="007012D5" w:rsidTr="00E74783">
        <w:tc>
          <w:tcPr>
            <w:tcW w:w="3369" w:type="dxa"/>
          </w:tcPr>
          <w:p w:rsidR="007012D5" w:rsidRDefault="007012D5" w:rsidP="007012D5">
            <w:pPr>
              <w:jc w:val="both"/>
            </w:pPr>
            <w:r>
              <w:t>Seguimiento y evaluación y Gestión del conocimiento</w:t>
            </w:r>
          </w:p>
        </w:tc>
        <w:tc>
          <w:tcPr>
            <w:tcW w:w="5609" w:type="dxa"/>
          </w:tcPr>
          <w:p w:rsidR="007012D5" w:rsidRDefault="00E74783" w:rsidP="007012D5">
            <w:pPr>
              <w:jc w:val="both"/>
            </w:pPr>
            <w:r>
              <w:t xml:space="preserve">Se refiere a los mecanismos establecidos para determinar el avance de las políticas, el cumplimiento de los objetivos y la toma de decisión sobre los correctivos que hay que implementar. </w:t>
            </w:r>
          </w:p>
        </w:tc>
      </w:tr>
      <w:tr w:rsidR="007012D5" w:rsidTr="00E74783">
        <w:tc>
          <w:tcPr>
            <w:tcW w:w="3369" w:type="dxa"/>
          </w:tcPr>
          <w:p w:rsidR="007012D5" w:rsidRDefault="00C42AC4" w:rsidP="007012D5">
            <w:pPr>
              <w:jc w:val="both"/>
            </w:pPr>
            <w:r>
              <w:t>Gestión del conocimiento</w:t>
            </w:r>
          </w:p>
        </w:tc>
        <w:tc>
          <w:tcPr>
            <w:tcW w:w="5609" w:type="dxa"/>
          </w:tcPr>
          <w:p w:rsidR="007012D5" w:rsidRDefault="00E74783" w:rsidP="005C5889">
            <w:pPr>
              <w:jc w:val="both"/>
            </w:pPr>
            <w:r>
              <w:t xml:space="preserve">Se relaciona a los mecanismos destinados a elevar el conocimiento y comprensión que tienen las entidades sobre las dinámicas </w:t>
            </w:r>
            <w:r w:rsidR="005C5889">
              <w:t>infantiles y adolescentes</w:t>
            </w:r>
            <w:r>
              <w:t>.</w:t>
            </w:r>
          </w:p>
        </w:tc>
        <w:bookmarkStart w:id="0" w:name="_GoBack"/>
        <w:bookmarkEnd w:id="0"/>
      </w:tr>
    </w:tbl>
    <w:p w:rsidR="007012D5" w:rsidRDefault="007012D5" w:rsidP="007012D5">
      <w:pPr>
        <w:spacing w:after="0" w:line="240" w:lineRule="auto"/>
        <w:jc w:val="both"/>
      </w:pPr>
    </w:p>
    <w:p w:rsidR="007012D5" w:rsidRDefault="007012D5" w:rsidP="007012D5">
      <w:pPr>
        <w:spacing w:after="0" w:line="240" w:lineRule="auto"/>
        <w:jc w:val="both"/>
      </w:pPr>
    </w:p>
    <w:tbl>
      <w:tblPr>
        <w:tblStyle w:val="Tablaconcuadrcula"/>
        <w:tblW w:w="9169" w:type="dxa"/>
        <w:tblLook w:val="04A0" w:firstRow="1" w:lastRow="0" w:firstColumn="1" w:lastColumn="0" w:noHBand="0" w:noVBand="1"/>
      </w:tblPr>
      <w:tblGrid>
        <w:gridCol w:w="2278"/>
        <w:gridCol w:w="6891"/>
      </w:tblGrid>
      <w:tr w:rsidR="007A3DEA" w:rsidTr="007A3DEA">
        <w:tc>
          <w:tcPr>
            <w:tcW w:w="2278" w:type="dxa"/>
            <w:shd w:val="clear" w:color="auto" w:fill="9CC2E5" w:themeFill="accent1" w:themeFillTint="99"/>
          </w:tcPr>
          <w:p w:rsidR="007A3DEA" w:rsidRDefault="007012D5" w:rsidP="007A3DEA">
            <w:pPr>
              <w:pStyle w:val="Prrafodelista"/>
              <w:ind w:left="0"/>
              <w:jc w:val="center"/>
            </w:pPr>
            <w:r>
              <w:br w:type="page"/>
            </w:r>
            <w:r w:rsidR="007A3DEA">
              <w:t>componente</w:t>
            </w:r>
          </w:p>
        </w:tc>
        <w:tc>
          <w:tcPr>
            <w:tcW w:w="6891" w:type="dxa"/>
            <w:shd w:val="clear" w:color="auto" w:fill="9CC2E5" w:themeFill="accent1" w:themeFillTint="99"/>
          </w:tcPr>
          <w:p w:rsidR="007A3DEA" w:rsidRDefault="007A3DEA" w:rsidP="007012D5">
            <w:pPr>
              <w:pStyle w:val="Prrafodelista"/>
              <w:ind w:left="0"/>
              <w:jc w:val="center"/>
            </w:pPr>
            <w:r>
              <w:t>Variables</w:t>
            </w:r>
          </w:p>
        </w:tc>
      </w:tr>
      <w:tr w:rsidR="007A3DEA" w:rsidTr="007A3DEA">
        <w:tc>
          <w:tcPr>
            <w:tcW w:w="2278" w:type="dxa"/>
            <w:vMerge w:val="restart"/>
          </w:tcPr>
          <w:p w:rsidR="007A3DEA" w:rsidRDefault="007A3DEA" w:rsidP="00C43DE1">
            <w:pPr>
              <w:pStyle w:val="Prrafodelista"/>
              <w:ind w:left="0"/>
            </w:pPr>
            <w:r>
              <w:t>Arquitectura institucional y política pública</w:t>
            </w: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Espacios de coordinación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Inclusión de actores en los espacios de coordinación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 w:rsidRPr="0016524D">
              <w:t>Capacidad técnica para la construcción de políticas, de procesos de planeación y evaluación programática.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7A3DEA">
            <w:pPr>
              <w:pStyle w:val="Prrafodelista"/>
              <w:ind w:left="0"/>
            </w:pPr>
            <w:r w:rsidRPr="0016524D">
              <w:t xml:space="preserve">Marco normativo local de soporte para los temas de </w:t>
            </w:r>
            <w:r>
              <w:t>Infancia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 w:rsidRPr="0016524D">
              <w:t>Disposición y gestión de recursos financiero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Pr="0016524D" w:rsidRDefault="007A3DEA" w:rsidP="00C43DE1">
            <w:pPr>
              <w:pStyle w:val="Prrafodelista"/>
              <w:ind w:left="0"/>
            </w:pPr>
            <w:r>
              <w:t>Articulación entre niveles territoriales</w:t>
            </w:r>
          </w:p>
        </w:tc>
      </w:tr>
      <w:tr w:rsidR="007A3DEA" w:rsidTr="007A3DEA">
        <w:tc>
          <w:tcPr>
            <w:tcW w:w="2278" w:type="dxa"/>
            <w:vMerge w:val="restart"/>
          </w:tcPr>
          <w:p w:rsidR="007A3DEA" w:rsidRDefault="007A3DEA" w:rsidP="00C43DE1">
            <w:pPr>
              <w:pStyle w:val="Prrafodelista"/>
              <w:ind w:left="0"/>
            </w:pPr>
            <w:r>
              <w:t xml:space="preserve">Oferta </w:t>
            </w:r>
            <w:proofErr w:type="spellStart"/>
            <w:r>
              <w:t>programatica</w:t>
            </w:r>
            <w:proofErr w:type="spellEnd"/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Pertinencia de los programas (los programas resuelven los intereses, necesidades y problemas)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Oportunidad de los programas (los programas llega a tiempo)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Suficiencia de los programas (los programas llegan a todos)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Continuidad (los programas permanecen en el tiempo)</w:t>
            </w:r>
          </w:p>
        </w:tc>
      </w:tr>
      <w:tr w:rsidR="007A3DEA" w:rsidTr="007A3DEA">
        <w:tc>
          <w:tcPr>
            <w:tcW w:w="2278" w:type="dxa"/>
            <w:vMerge w:val="restart"/>
          </w:tcPr>
          <w:p w:rsidR="007A3DEA" w:rsidRDefault="007A3DEA" w:rsidP="00C43DE1">
            <w:pPr>
              <w:pStyle w:val="Prrafodelista"/>
              <w:ind w:left="0"/>
            </w:pPr>
            <w:r>
              <w:t>Participación y movilización social</w:t>
            </w: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Estrategias de sensibilización sobre los derechos de los jóvenes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Procesos de control social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7A3DEA">
            <w:pPr>
              <w:pStyle w:val="Prrafodelista"/>
              <w:ind w:left="0"/>
            </w:pPr>
            <w:r>
              <w:t xml:space="preserve">Espacios de participación </w:t>
            </w:r>
            <w:proofErr w:type="spellStart"/>
            <w:r>
              <w:t>infanto</w:t>
            </w:r>
            <w:proofErr w:type="spellEnd"/>
            <w:r>
              <w:t xml:space="preserve"> adolescente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7A3DEA">
            <w:pPr>
              <w:pStyle w:val="Prrafodelista"/>
              <w:ind w:left="0"/>
            </w:pPr>
            <w:r>
              <w:t>Incidencia de los niños, niñas y adolescentes  en los procesos de gestión pública local</w:t>
            </w:r>
          </w:p>
        </w:tc>
      </w:tr>
      <w:tr w:rsidR="007A3DEA" w:rsidTr="007A3DEA">
        <w:tc>
          <w:tcPr>
            <w:tcW w:w="2278" w:type="dxa"/>
            <w:vMerge w:val="restart"/>
          </w:tcPr>
          <w:p w:rsidR="007A3DEA" w:rsidRDefault="007A3DEA" w:rsidP="00C43DE1">
            <w:pPr>
              <w:pStyle w:val="Prrafodelista"/>
              <w:ind w:left="0"/>
            </w:pPr>
            <w:r>
              <w:t>Seguimiento y monitoreo</w:t>
            </w: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Mecanismos de seguimiento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6F1CE8">
            <w:pPr>
              <w:pStyle w:val="Prrafodelista"/>
              <w:ind w:left="0"/>
            </w:pPr>
            <w:r>
              <w:t xml:space="preserve">Sistemas de información 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>Participación de los jóvenes en los procesos de seguimiento y monitoreo</w:t>
            </w:r>
          </w:p>
        </w:tc>
      </w:tr>
      <w:tr w:rsidR="007A3DEA" w:rsidTr="007A3DEA">
        <w:tc>
          <w:tcPr>
            <w:tcW w:w="2278" w:type="dxa"/>
            <w:vMerge w:val="restart"/>
          </w:tcPr>
          <w:p w:rsidR="007A3DEA" w:rsidRDefault="007A3DEA" w:rsidP="00C43DE1">
            <w:pPr>
              <w:pStyle w:val="Prrafodelista"/>
              <w:ind w:left="0"/>
            </w:pPr>
            <w:r>
              <w:t>Generación del conocimiento</w:t>
            </w:r>
          </w:p>
        </w:tc>
        <w:tc>
          <w:tcPr>
            <w:tcW w:w="6891" w:type="dxa"/>
          </w:tcPr>
          <w:p w:rsidR="007A3DEA" w:rsidRDefault="007A3DEA" w:rsidP="007A3DEA">
            <w:pPr>
              <w:pStyle w:val="Prrafodelista"/>
              <w:ind w:left="0"/>
            </w:pPr>
            <w:r>
              <w:t>Estudios e investigaciones realizadas sobre infancia y adolescencia</w:t>
            </w:r>
          </w:p>
        </w:tc>
      </w:tr>
      <w:tr w:rsidR="007A3DEA" w:rsidTr="007A3DEA">
        <w:tc>
          <w:tcPr>
            <w:tcW w:w="2278" w:type="dxa"/>
            <w:vMerge/>
          </w:tcPr>
          <w:p w:rsidR="007A3DEA" w:rsidRDefault="007A3DEA" w:rsidP="00C43DE1">
            <w:pPr>
              <w:pStyle w:val="Prrafodelista"/>
              <w:ind w:left="0"/>
            </w:pPr>
          </w:p>
        </w:tc>
        <w:tc>
          <w:tcPr>
            <w:tcW w:w="6891" w:type="dxa"/>
          </w:tcPr>
          <w:p w:rsidR="007A3DEA" w:rsidRDefault="007A3DEA" w:rsidP="00C43DE1">
            <w:pPr>
              <w:pStyle w:val="Prrafodelista"/>
              <w:ind w:left="0"/>
            </w:pPr>
            <w:r>
              <w:t xml:space="preserve">Mecanismos de divulgación del conocimiento. </w:t>
            </w:r>
          </w:p>
        </w:tc>
      </w:tr>
    </w:tbl>
    <w:p w:rsidR="009767D0" w:rsidRPr="00AB2555" w:rsidRDefault="009767D0" w:rsidP="007A3DEA"/>
    <w:sectPr w:rsidR="009767D0" w:rsidRPr="00AB255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4D" w:rsidRDefault="00BE234D" w:rsidP="00474663">
      <w:pPr>
        <w:spacing w:after="0" w:line="240" w:lineRule="auto"/>
      </w:pPr>
      <w:r>
        <w:separator/>
      </w:r>
    </w:p>
  </w:endnote>
  <w:endnote w:type="continuationSeparator" w:id="0">
    <w:p w:rsidR="00BE234D" w:rsidRDefault="00BE234D" w:rsidP="0047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4D" w:rsidRDefault="00BE234D" w:rsidP="00474663">
      <w:pPr>
        <w:spacing w:after="0" w:line="240" w:lineRule="auto"/>
      </w:pPr>
      <w:r>
        <w:separator/>
      </w:r>
    </w:p>
  </w:footnote>
  <w:footnote w:type="continuationSeparator" w:id="0">
    <w:p w:rsidR="00BE234D" w:rsidRDefault="00BE234D" w:rsidP="0047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63" w:rsidRDefault="00474663" w:rsidP="0047466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08"/>
    <w:multiLevelType w:val="hybridMultilevel"/>
    <w:tmpl w:val="DCE84102"/>
    <w:lvl w:ilvl="0" w:tplc="DF9C2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10CB"/>
    <w:multiLevelType w:val="hybridMultilevel"/>
    <w:tmpl w:val="6C3E21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AF0"/>
    <w:multiLevelType w:val="hybridMultilevel"/>
    <w:tmpl w:val="B0DA1386"/>
    <w:lvl w:ilvl="0" w:tplc="C3A65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117"/>
    <w:multiLevelType w:val="hybridMultilevel"/>
    <w:tmpl w:val="88FA5B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3208F"/>
    <w:multiLevelType w:val="hybridMultilevel"/>
    <w:tmpl w:val="E526A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636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55"/>
    <w:rsid w:val="0016524D"/>
    <w:rsid w:val="001816A1"/>
    <w:rsid w:val="003A4153"/>
    <w:rsid w:val="00474663"/>
    <w:rsid w:val="00480051"/>
    <w:rsid w:val="00546502"/>
    <w:rsid w:val="00546E46"/>
    <w:rsid w:val="0059172E"/>
    <w:rsid w:val="005C5889"/>
    <w:rsid w:val="006F1CE8"/>
    <w:rsid w:val="007012D5"/>
    <w:rsid w:val="007574CE"/>
    <w:rsid w:val="007A3DEA"/>
    <w:rsid w:val="008001AA"/>
    <w:rsid w:val="00814F90"/>
    <w:rsid w:val="009767D0"/>
    <w:rsid w:val="00AA2DC0"/>
    <w:rsid w:val="00AB2555"/>
    <w:rsid w:val="00AD550D"/>
    <w:rsid w:val="00B0765C"/>
    <w:rsid w:val="00BE234D"/>
    <w:rsid w:val="00C42AC4"/>
    <w:rsid w:val="00C43DE1"/>
    <w:rsid w:val="00E203BB"/>
    <w:rsid w:val="00E74783"/>
    <w:rsid w:val="00E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03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663"/>
  </w:style>
  <w:style w:type="paragraph" w:styleId="Piedepgina">
    <w:name w:val="footer"/>
    <w:basedOn w:val="Normal"/>
    <w:link w:val="PiedepginaCar"/>
    <w:uiPriority w:val="99"/>
    <w:unhideWhenUsed/>
    <w:rsid w:val="00474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663"/>
  </w:style>
  <w:style w:type="paragraph" w:styleId="Textodeglobo">
    <w:name w:val="Balloon Text"/>
    <w:basedOn w:val="Normal"/>
    <w:link w:val="TextodegloboCar"/>
    <w:uiPriority w:val="99"/>
    <w:semiHidden/>
    <w:unhideWhenUsed/>
    <w:rsid w:val="0047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66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2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2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1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03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663"/>
  </w:style>
  <w:style w:type="paragraph" w:styleId="Piedepgina">
    <w:name w:val="footer"/>
    <w:basedOn w:val="Normal"/>
    <w:link w:val="PiedepginaCar"/>
    <w:uiPriority w:val="99"/>
    <w:unhideWhenUsed/>
    <w:rsid w:val="00474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663"/>
  </w:style>
  <w:style w:type="paragraph" w:styleId="Textodeglobo">
    <w:name w:val="Balloon Text"/>
    <w:basedOn w:val="Normal"/>
    <w:link w:val="TextodegloboCar"/>
    <w:uiPriority w:val="99"/>
    <w:semiHidden/>
    <w:unhideWhenUsed/>
    <w:rsid w:val="0047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66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2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12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1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Administrador</cp:lastModifiedBy>
  <cp:revision>3</cp:revision>
  <cp:lastPrinted>2015-10-07T18:53:00Z</cp:lastPrinted>
  <dcterms:created xsi:type="dcterms:W3CDTF">2015-10-07T18:53:00Z</dcterms:created>
  <dcterms:modified xsi:type="dcterms:W3CDTF">2015-10-07T19:11:00Z</dcterms:modified>
</cp:coreProperties>
</file>