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7D" w:rsidRDefault="0045037D" w:rsidP="004503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705"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</w:rPr>
        <w:t>de Epistemología</w:t>
      </w:r>
    </w:p>
    <w:p w:rsidR="0045037D" w:rsidRDefault="0045037D" w:rsidP="004503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Tecnológica de Pereira</w:t>
      </w:r>
    </w:p>
    <w:p w:rsidR="0045037D" w:rsidRDefault="0045037D" w:rsidP="004503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del Deporte y la Recreación</w:t>
      </w:r>
    </w:p>
    <w:p w:rsidR="0045037D" w:rsidRDefault="00E404C2" w:rsidP="004503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</w:t>
      </w:r>
      <w:r w:rsidR="0045037D">
        <w:rPr>
          <w:rFonts w:ascii="Arial" w:hAnsi="Arial" w:cs="Arial"/>
          <w:sz w:val="24"/>
          <w:szCs w:val="24"/>
        </w:rPr>
        <w:t xml:space="preserve"> semestre 201</w:t>
      </w:r>
      <w:r>
        <w:rPr>
          <w:rFonts w:ascii="Arial" w:hAnsi="Arial" w:cs="Arial"/>
          <w:sz w:val="24"/>
          <w:szCs w:val="24"/>
        </w:rPr>
        <w:t>4</w:t>
      </w:r>
    </w:p>
    <w:p w:rsidR="0045037D" w:rsidRDefault="00FF135D" w:rsidP="004503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Leonardo Londoño López</w:t>
      </w:r>
    </w:p>
    <w:p w:rsidR="0045037D" w:rsidRPr="0045037D" w:rsidRDefault="0045037D" w:rsidP="0045037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037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037D">
        <w:rPr>
          <w:rFonts w:ascii="Arial" w:hAnsi="Arial" w:cs="Arial"/>
          <w:b/>
          <w:sz w:val="24"/>
          <w:szCs w:val="24"/>
        </w:rPr>
        <w:t>Presentación</w:t>
      </w:r>
    </w:p>
    <w:p w:rsidR="0045037D" w:rsidRPr="00133CFA" w:rsidRDefault="00FF135D" w:rsidP="00450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45037D" w:rsidRPr="00133CFA">
        <w:rPr>
          <w:rFonts w:ascii="Arial" w:hAnsi="Arial" w:cs="Arial"/>
          <w:sz w:val="24"/>
          <w:szCs w:val="24"/>
        </w:rPr>
        <w:t xml:space="preserve"> carrera profesional de ciencias del deporte y la recreación es requisito</w:t>
      </w:r>
      <w:r>
        <w:rPr>
          <w:rFonts w:ascii="Arial" w:hAnsi="Arial" w:cs="Arial"/>
          <w:sz w:val="24"/>
          <w:szCs w:val="24"/>
        </w:rPr>
        <w:t xml:space="preserve"> la epistemología</w:t>
      </w:r>
      <w:bookmarkStart w:id="0" w:name="_GoBack"/>
      <w:bookmarkEnd w:id="0"/>
      <w:r w:rsidR="0045037D" w:rsidRPr="00133CFA">
        <w:rPr>
          <w:rFonts w:ascii="Arial" w:hAnsi="Arial" w:cs="Arial"/>
          <w:sz w:val="24"/>
          <w:szCs w:val="24"/>
        </w:rPr>
        <w:t xml:space="preserve"> por su compromiso científico, </w:t>
      </w:r>
      <w:r w:rsidR="003467AE" w:rsidRPr="00133CFA">
        <w:rPr>
          <w:rFonts w:ascii="Arial" w:hAnsi="Arial" w:cs="Arial"/>
          <w:sz w:val="24"/>
          <w:szCs w:val="24"/>
        </w:rPr>
        <w:t>ya que</w:t>
      </w:r>
      <w:r w:rsidR="0045037D" w:rsidRPr="00133CFA">
        <w:rPr>
          <w:rFonts w:ascii="Arial" w:hAnsi="Arial" w:cs="Arial"/>
          <w:sz w:val="24"/>
          <w:szCs w:val="24"/>
        </w:rPr>
        <w:t>,</w:t>
      </w:r>
      <w:r w:rsidR="003467AE" w:rsidRPr="00133CFA">
        <w:rPr>
          <w:rFonts w:ascii="Arial" w:hAnsi="Arial" w:cs="Arial"/>
          <w:sz w:val="24"/>
          <w:szCs w:val="24"/>
        </w:rPr>
        <w:t xml:space="preserve"> como </w:t>
      </w:r>
      <w:r w:rsidR="0045037D" w:rsidRPr="00133CFA">
        <w:rPr>
          <w:rFonts w:ascii="Arial" w:hAnsi="Arial" w:cs="Arial"/>
          <w:sz w:val="24"/>
          <w:szCs w:val="24"/>
        </w:rPr>
        <w:t xml:space="preserve"> toda profesión</w:t>
      </w:r>
      <w:r w:rsidR="003467AE" w:rsidRPr="00133CFA">
        <w:rPr>
          <w:rFonts w:ascii="Arial" w:hAnsi="Arial" w:cs="Arial"/>
          <w:sz w:val="24"/>
          <w:szCs w:val="24"/>
        </w:rPr>
        <w:t>,</w:t>
      </w:r>
      <w:r w:rsidR="0045037D" w:rsidRPr="00133CFA">
        <w:rPr>
          <w:rFonts w:ascii="Arial" w:hAnsi="Arial" w:cs="Arial"/>
          <w:sz w:val="24"/>
          <w:szCs w:val="24"/>
        </w:rPr>
        <w:t xml:space="preserve"> </w:t>
      </w:r>
      <w:r w:rsidR="003467AE" w:rsidRPr="00133CFA">
        <w:rPr>
          <w:rFonts w:ascii="Arial" w:hAnsi="Arial" w:cs="Arial"/>
          <w:sz w:val="24"/>
          <w:szCs w:val="24"/>
        </w:rPr>
        <w:t xml:space="preserve">tiene la responsabilidad </w:t>
      </w:r>
      <w:r w:rsidR="0045037D" w:rsidRPr="00133CFA">
        <w:rPr>
          <w:rFonts w:ascii="Arial" w:hAnsi="Arial" w:cs="Arial"/>
          <w:sz w:val="24"/>
          <w:szCs w:val="24"/>
        </w:rPr>
        <w:t xml:space="preserve">teórica </w:t>
      </w:r>
      <w:r w:rsidR="003467AE" w:rsidRPr="00133CFA">
        <w:rPr>
          <w:rFonts w:ascii="Arial" w:hAnsi="Arial" w:cs="Arial"/>
          <w:sz w:val="24"/>
          <w:szCs w:val="24"/>
        </w:rPr>
        <w:t xml:space="preserve">para impactar al ser humano, por lo que es importante generar un </w:t>
      </w:r>
      <w:r w:rsidR="0045037D" w:rsidRPr="00133CFA">
        <w:rPr>
          <w:rFonts w:ascii="Arial" w:hAnsi="Arial" w:cs="Arial"/>
          <w:sz w:val="24"/>
          <w:szCs w:val="24"/>
        </w:rPr>
        <w:t xml:space="preserve">espacio para la reflexión filosófica de la ciencia. No se trata de ser obediente y aplicar la teoría que se maneje en libros o en investigaciones, sino  que también </w:t>
      </w:r>
      <w:r w:rsidR="00B74294" w:rsidRPr="00133CFA">
        <w:rPr>
          <w:rFonts w:ascii="Arial" w:hAnsi="Arial" w:cs="Arial"/>
          <w:sz w:val="24"/>
          <w:szCs w:val="24"/>
        </w:rPr>
        <w:t xml:space="preserve">debe repensarse, analizar su pertinencia o sus desventajas; si las tiene. </w:t>
      </w:r>
    </w:p>
    <w:p w:rsidR="007A094E" w:rsidRPr="00133CFA" w:rsidRDefault="005F3695" w:rsidP="0045037D">
      <w:pPr>
        <w:jc w:val="both"/>
        <w:rPr>
          <w:rFonts w:ascii="Arial" w:hAnsi="Arial" w:cs="Arial"/>
          <w:sz w:val="24"/>
          <w:szCs w:val="24"/>
        </w:rPr>
      </w:pPr>
      <w:r w:rsidRPr="00133CFA">
        <w:rPr>
          <w:rFonts w:ascii="Arial" w:hAnsi="Arial" w:cs="Arial"/>
          <w:sz w:val="24"/>
          <w:szCs w:val="24"/>
        </w:rPr>
        <w:t>No obstante, para lograr un rigor en esta reflexión, debemos cumplir requisitos de conocimiento general sobre la discusión de las teorías del conocimiento que se han presentado a lo largo del tiempo, debido a que estas aun se tienen en cuenta en cualquier análisis epistemológico de fundamento para las investigaciones científicas.</w:t>
      </w:r>
      <w:r w:rsidR="007A094E" w:rsidRPr="00133CFA">
        <w:rPr>
          <w:rFonts w:ascii="Arial" w:hAnsi="Arial" w:cs="Arial"/>
          <w:sz w:val="24"/>
          <w:szCs w:val="24"/>
        </w:rPr>
        <w:t xml:space="preserve"> Por eso no debemos dejar atrás la importancia de las lecturas y ejercicios necesarios para agudizar la reflexión científica, es decir, epistemología. </w:t>
      </w:r>
    </w:p>
    <w:p w:rsidR="005F3695" w:rsidRPr="007A094E" w:rsidRDefault="007A094E" w:rsidP="0045037D">
      <w:pPr>
        <w:jc w:val="both"/>
        <w:rPr>
          <w:rFonts w:ascii="Arial" w:hAnsi="Arial" w:cs="Arial"/>
          <w:b/>
          <w:sz w:val="24"/>
          <w:szCs w:val="24"/>
        </w:rPr>
      </w:pPr>
      <w:r w:rsidRPr="007A094E">
        <w:rPr>
          <w:rFonts w:ascii="Arial" w:hAnsi="Arial" w:cs="Arial"/>
          <w:b/>
          <w:sz w:val="24"/>
          <w:szCs w:val="24"/>
        </w:rPr>
        <w:t>2. Objetivos</w:t>
      </w:r>
      <w:r w:rsidR="005F3695" w:rsidRPr="007A094E">
        <w:rPr>
          <w:rFonts w:ascii="Arial" w:hAnsi="Arial" w:cs="Arial"/>
          <w:b/>
          <w:sz w:val="24"/>
          <w:szCs w:val="24"/>
        </w:rPr>
        <w:t xml:space="preserve"> </w:t>
      </w:r>
    </w:p>
    <w:p w:rsidR="005F3695" w:rsidRPr="00F41D34" w:rsidRDefault="007A094E" w:rsidP="0045037D">
      <w:pPr>
        <w:jc w:val="both"/>
        <w:rPr>
          <w:rFonts w:ascii="Arial" w:hAnsi="Arial" w:cs="Arial"/>
        </w:rPr>
      </w:pPr>
      <w:r w:rsidRPr="00F41D34">
        <w:rPr>
          <w:rFonts w:ascii="Arial" w:hAnsi="Arial" w:cs="Arial"/>
        </w:rPr>
        <w:t>Conocer las diferentes propuestas gnoseológicas en las corrientes occidentales que han impulsado el desarrollo de las ciencias.</w:t>
      </w:r>
    </w:p>
    <w:p w:rsidR="007A094E" w:rsidRPr="00F41D34" w:rsidRDefault="007A094E" w:rsidP="0045037D">
      <w:pPr>
        <w:jc w:val="both"/>
        <w:rPr>
          <w:rFonts w:ascii="Arial" w:hAnsi="Arial" w:cs="Arial"/>
        </w:rPr>
      </w:pPr>
      <w:r w:rsidRPr="00F41D34">
        <w:rPr>
          <w:rFonts w:ascii="Arial" w:hAnsi="Arial" w:cs="Arial"/>
        </w:rPr>
        <w:t>Incentivar en la profesión la apropiación de la metodología para las investigaciones de acuerdo al objeto de estudio que nos compete</w:t>
      </w:r>
      <w:r w:rsidR="003467AE" w:rsidRPr="00F41D34">
        <w:rPr>
          <w:rFonts w:ascii="Arial" w:hAnsi="Arial" w:cs="Arial"/>
        </w:rPr>
        <w:t>.</w:t>
      </w:r>
    </w:p>
    <w:p w:rsidR="007A094E" w:rsidRPr="00F41D34" w:rsidRDefault="007A094E" w:rsidP="0045037D">
      <w:pPr>
        <w:jc w:val="both"/>
        <w:rPr>
          <w:rFonts w:ascii="Arial" w:hAnsi="Arial" w:cs="Arial"/>
        </w:rPr>
      </w:pPr>
      <w:r w:rsidRPr="00F41D34">
        <w:rPr>
          <w:rFonts w:ascii="Arial" w:hAnsi="Arial" w:cs="Arial"/>
        </w:rPr>
        <w:t>Descubrir contemporáneas discusiones sobre el objeto de estudio de la salud</w:t>
      </w:r>
      <w:r w:rsidR="00580E69" w:rsidRPr="00F41D34">
        <w:rPr>
          <w:rFonts w:ascii="Arial" w:hAnsi="Arial" w:cs="Arial"/>
        </w:rPr>
        <w:t xml:space="preserve"> para reconocer las misiones u objetivos.</w:t>
      </w:r>
    </w:p>
    <w:p w:rsidR="00580E69" w:rsidRDefault="00580E69" w:rsidP="0045037D">
      <w:pPr>
        <w:jc w:val="both"/>
        <w:rPr>
          <w:rFonts w:ascii="Arial" w:hAnsi="Arial" w:cs="Arial"/>
          <w:b/>
          <w:sz w:val="24"/>
          <w:szCs w:val="24"/>
        </w:rPr>
      </w:pPr>
      <w:r w:rsidRPr="00580E69">
        <w:rPr>
          <w:rFonts w:ascii="Arial" w:hAnsi="Arial" w:cs="Arial"/>
          <w:b/>
          <w:sz w:val="24"/>
          <w:szCs w:val="24"/>
        </w:rPr>
        <w:t>3. Contenidos</w:t>
      </w:r>
    </w:p>
    <w:p w:rsidR="00366B20" w:rsidRDefault="00366B20" w:rsidP="00366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clases estarán divididas en tres temáticas, que serán las siguientes:</w:t>
      </w:r>
    </w:p>
    <w:p w:rsidR="00580E69" w:rsidRPr="003440B9" w:rsidRDefault="00366B20" w:rsidP="00366B20">
      <w:pPr>
        <w:ind w:left="4253" w:hanging="4253"/>
        <w:jc w:val="both"/>
        <w:rPr>
          <w:rFonts w:cstheme="minorHAnsi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Tema 1</w:t>
      </w:r>
      <w:r w:rsidR="003440B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Teorías del Conocimiento: </w:t>
      </w:r>
      <w:r w:rsidRPr="003440B9">
        <w:rPr>
          <w:rFonts w:cstheme="minorHAnsi"/>
          <w:sz w:val="24"/>
          <w:szCs w:val="24"/>
        </w:rPr>
        <w:t>La importancia contextualización de lo que se discute en las teorías sobre cómo nuestro cerebro aprende lo que sabe.</w:t>
      </w:r>
    </w:p>
    <w:p w:rsidR="00E86BB8" w:rsidRDefault="00E86BB8" w:rsidP="00366B20">
      <w:pPr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E86BB8" w:rsidTr="00E86BB8">
        <w:tc>
          <w:tcPr>
            <w:tcW w:w="2268" w:type="dxa"/>
          </w:tcPr>
          <w:p w:rsidR="00E86BB8" w:rsidRPr="003467AE" w:rsidRDefault="00E404C2" w:rsidP="00E86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Febrero/Marzo</w:t>
            </w:r>
          </w:p>
        </w:tc>
        <w:tc>
          <w:tcPr>
            <w:tcW w:w="6521" w:type="dxa"/>
          </w:tcPr>
          <w:p w:rsidR="00E86BB8" w:rsidRPr="003467AE" w:rsidRDefault="00E86BB8" w:rsidP="00763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7AE">
              <w:rPr>
                <w:rFonts w:ascii="Arial" w:hAnsi="Arial" w:cs="Arial"/>
                <w:b/>
                <w:sz w:val="24"/>
                <w:szCs w:val="24"/>
              </w:rPr>
              <w:t xml:space="preserve">Contenidos de Teorías del Conocimiento </w:t>
            </w:r>
          </w:p>
        </w:tc>
      </w:tr>
      <w:tr w:rsidR="00E86BB8" w:rsidTr="00E86BB8">
        <w:tc>
          <w:tcPr>
            <w:tcW w:w="2268" w:type="dxa"/>
          </w:tcPr>
          <w:p w:rsidR="00E86BB8" w:rsidRPr="005F35C7" w:rsidRDefault="00E07BD5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C7">
              <w:rPr>
                <w:rFonts w:ascii="Arial" w:hAnsi="Arial" w:cs="Arial"/>
                <w:sz w:val="24"/>
                <w:szCs w:val="24"/>
              </w:rPr>
              <w:t>Primera</w:t>
            </w:r>
            <w:r w:rsidR="00E86BB8" w:rsidRPr="005F35C7">
              <w:rPr>
                <w:rFonts w:ascii="Arial" w:hAnsi="Arial" w:cs="Arial"/>
                <w:sz w:val="24"/>
                <w:szCs w:val="24"/>
              </w:rPr>
              <w:t xml:space="preserve"> semana </w:t>
            </w:r>
          </w:p>
        </w:tc>
        <w:tc>
          <w:tcPr>
            <w:tcW w:w="6521" w:type="dxa"/>
          </w:tcPr>
          <w:p w:rsidR="00E86BB8" w:rsidRPr="001114A8" w:rsidRDefault="00D51C1E" w:rsidP="00D51C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del programa, qué es epistemología y cuál es el fin de esta para la ciencia y para el programa</w:t>
            </w:r>
          </w:p>
        </w:tc>
      </w:tr>
      <w:tr w:rsidR="00E86BB8" w:rsidTr="00E86BB8">
        <w:tc>
          <w:tcPr>
            <w:tcW w:w="2268" w:type="dxa"/>
          </w:tcPr>
          <w:p w:rsidR="00E86BB8" w:rsidRDefault="00E07BD5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Segunda</w:t>
            </w:r>
            <w:r w:rsidR="00E86BB8">
              <w:rPr>
                <w:rFonts w:ascii="Arial" w:hAnsi="Arial" w:cs="Arial"/>
                <w:sz w:val="24"/>
                <w:szCs w:val="24"/>
              </w:rPr>
              <w:t xml:space="preserve"> semana </w:t>
            </w:r>
          </w:p>
        </w:tc>
        <w:tc>
          <w:tcPr>
            <w:tcW w:w="6521" w:type="dxa"/>
          </w:tcPr>
          <w:p w:rsidR="00E86BB8" w:rsidRPr="001114A8" w:rsidRDefault="00D51C1E" w:rsidP="00366B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teorías del conocimiento más conocidas en la historia occidental que han influido en la ciencia</w:t>
            </w:r>
          </w:p>
        </w:tc>
      </w:tr>
      <w:tr w:rsidR="00E86BB8" w:rsidTr="00E86BB8">
        <w:tc>
          <w:tcPr>
            <w:tcW w:w="2268" w:type="dxa"/>
          </w:tcPr>
          <w:p w:rsidR="00E86BB8" w:rsidRDefault="00E07BD5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</w:t>
            </w:r>
            <w:r w:rsidR="00E86BB8">
              <w:rPr>
                <w:rFonts w:ascii="Arial" w:hAnsi="Arial" w:cs="Arial"/>
                <w:sz w:val="24"/>
                <w:szCs w:val="24"/>
              </w:rPr>
              <w:t xml:space="preserve"> semana </w:t>
            </w:r>
          </w:p>
        </w:tc>
        <w:tc>
          <w:tcPr>
            <w:tcW w:w="6521" w:type="dxa"/>
          </w:tcPr>
          <w:p w:rsidR="00E86BB8" w:rsidRPr="001114A8" w:rsidRDefault="00D51C1E" w:rsidP="00366B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teoría contemporánea epistémica de la complejidad y sistemática</w:t>
            </w:r>
          </w:p>
        </w:tc>
      </w:tr>
      <w:tr w:rsidR="00E86BB8" w:rsidTr="00E86BB8">
        <w:tc>
          <w:tcPr>
            <w:tcW w:w="2268" w:type="dxa"/>
          </w:tcPr>
          <w:p w:rsidR="00E86BB8" w:rsidRDefault="00E07BD5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Cuarta semana </w:t>
            </w:r>
          </w:p>
        </w:tc>
        <w:tc>
          <w:tcPr>
            <w:tcW w:w="6521" w:type="dxa"/>
          </w:tcPr>
          <w:p w:rsidR="00E86BB8" w:rsidRPr="001114A8" w:rsidRDefault="008E167D" w:rsidP="00366B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Discusión de propuestas a la problemática de salud aplicando las teorías del conocimiento. </w:t>
            </w:r>
            <w:r w:rsidR="00E07BD5" w:rsidRPr="001114A8">
              <w:rPr>
                <w:rFonts w:ascii="Arial" w:hAnsi="Arial" w:cs="Arial"/>
              </w:rPr>
              <w:t xml:space="preserve"> </w:t>
            </w:r>
          </w:p>
        </w:tc>
      </w:tr>
      <w:tr w:rsidR="00E07BD5" w:rsidTr="00E86BB8">
        <w:tc>
          <w:tcPr>
            <w:tcW w:w="2268" w:type="dxa"/>
          </w:tcPr>
          <w:p w:rsidR="005F35C7" w:rsidRDefault="00E07BD5" w:rsidP="00366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Quinta semana </w:t>
            </w:r>
          </w:p>
          <w:p w:rsidR="00E07BD5" w:rsidRDefault="00E07BD5" w:rsidP="008100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7BD5" w:rsidRPr="001114A8" w:rsidRDefault="00D40E47" w:rsidP="00366B20">
            <w:pPr>
              <w:jc w:val="both"/>
              <w:rPr>
                <w:rFonts w:ascii="Arial" w:hAnsi="Arial" w:cs="Arial"/>
              </w:rPr>
            </w:pPr>
            <w:r w:rsidRPr="00D40E47">
              <w:rPr>
                <w:rFonts w:ascii="Arial" w:hAnsi="Arial" w:cs="Arial"/>
                <w:color w:val="00B0F0"/>
              </w:rPr>
              <w:t>Parcial</w:t>
            </w:r>
          </w:p>
        </w:tc>
      </w:tr>
    </w:tbl>
    <w:p w:rsidR="00E86BB8" w:rsidRDefault="00E86BB8" w:rsidP="00366B20">
      <w:pPr>
        <w:ind w:left="4253" w:hanging="4253"/>
        <w:jc w:val="both"/>
        <w:rPr>
          <w:rFonts w:ascii="Arial" w:hAnsi="Arial" w:cs="Arial"/>
          <w:sz w:val="24"/>
          <w:szCs w:val="24"/>
        </w:rPr>
      </w:pPr>
    </w:p>
    <w:p w:rsidR="00763785" w:rsidRDefault="00E07BD5" w:rsidP="00366B20">
      <w:pPr>
        <w:ind w:left="4253" w:hanging="425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Tema 2</w:t>
      </w:r>
      <w:r w:rsidR="003440B9">
        <w:rPr>
          <w:rFonts w:ascii="Arial" w:hAnsi="Arial" w:cs="Arial"/>
          <w:i/>
          <w:sz w:val="24"/>
          <w:szCs w:val="24"/>
        </w:rPr>
        <w:t>.</w:t>
      </w:r>
      <w:r w:rsidR="00702A71">
        <w:rPr>
          <w:rFonts w:ascii="Arial" w:hAnsi="Arial" w:cs="Arial"/>
          <w:i/>
          <w:sz w:val="24"/>
          <w:szCs w:val="24"/>
        </w:rPr>
        <w:t xml:space="preserve"> </w:t>
      </w:r>
      <w:r w:rsidR="00763785">
        <w:rPr>
          <w:rFonts w:ascii="Arial" w:hAnsi="Arial" w:cs="Arial"/>
          <w:i/>
          <w:sz w:val="24"/>
          <w:szCs w:val="24"/>
        </w:rPr>
        <w:t>La epistemología de la salud</w:t>
      </w:r>
      <w:r w:rsidR="0030118C">
        <w:rPr>
          <w:rFonts w:ascii="Arial" w:hAnsi="Arial" w:cs="Arial"/>
          <w:i/>
          <w:sz w:val="24"/>
          <w:szCs w:val="24"/>
        </w:rPr>
        <w:t xml:space="preserve"> </w:t>
      </w:r>
      <w:r w:rsidR="0030118C">
        <w:rPr>
          <w:rFonts w:ascii="Arial" w:hAnsi="Arial" w:cs="Arial"/>
          <w:sz w:val="24"/>
          <w:szCs w:val="24"/>
        </w:rPr>
        <w:t xml:space="preserve">(Juan </w:t>
      </w:r>
      <w:proofErr w:type="spellStart"/>
      <w:r w:rsidR="0030118C">
        <w:rPr>
          <w:rFonts w:ascii="Arial" w:hAnsi="Arial" w:cs="Arial"/>
          <w:sz w:val="24"/>
          <w:szCs w:val="24"/>
        </w:rPr>
        <w:t>Samaja</w:t>
      </w:r>
      <w:proofErr w:type="spellEnd"/>
      <w:r w:rsidR="0030118C">
        <w:rPr>
          <w:rFonts w:ascii="Arial" w:hAnsi="Arial" w:cs="Arial"/>
          <w:sz w:val="24"/>
          <w:szCs w:val="24"/>
        </w:rPr>
        <w:t>)</w:t>
      </w:r>
      <w:r w:rsidR="00702A71">
        <w:rPr>
          <w:rFonts w:ascii="Arial" w:hAnsi="Arial" w:cs="Arial"/>
          <w:i/>
          <w:sz w:val="24"/>
          <w:szCs w:val="24"/>
        </w:rPr>
        <w:t>:</w:t>
      </w:r>
      <w:r w:rsidR="00702A71">
        <w:rPr>
          <w:rFonts w:ascii="Arial" w:hAnsi="Arial" w:cs="Arial"/>
          <w:sz w:val="24"/>
          <w:szCs w:val="24"/>
        </w:rPr>
        <w:t xml:space="preserve"> </w:t>
      </w:r>
      <w:r w:rsidR="00A7533B">
        <w:rPr>
          <w:rFonts w:ascii="Arial" w:hAnsi="Arial" w:cs="Arial"/>
          <w:sz w:val="24"/>
          <w:szCs w:val="24"/>
        </w:rPr>
        <w:t>conocer los retos actuales de la salud en el mundo como profesionales con rigor científico.</w:t>
      </w:r>
    </w:p>
    <w:p w:rsidR="005F35C7" w:rsidRPr="00702A71" w:rsidRDefault="005F35C7" w:rsidP="00366B20">
      <w:pPr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5175"/>
      </w:tblGrid>
      <w:tr w:rsidR="00763785" w:rsidTr="00763785">
        <w:trPr>
          <w:trHeight w:val="591"/>
        </w:trPr>
        <w:tc>
          <w:tcPr>
            <w:tcW w:w="3162" w:type="dxa"/>
          </w:tcPr>
          <w:p w:rsidR="00763785" w:rsidRPr="003467AE" w:rsidRDefault="00763785" w:rsidP="00346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Septiembre/octubre</w:t>
            </w:r>
          </w:p>
        </w:tc>
        <w:tc>
          <w:tcPr>
            <w:tcW w:w="5175" w:type="dxa"/>
          </w:tcPr>
          <w:p w:rsidR="00763785" w:rsidRPr="003467AE" w:rsidRDefault="00763785" w:rsidP="003467AE">
            <w:pPr>
              <w:jc w:val="center"/>
              <w:rPr>
                <w:b/>
                <w:sz w:val="24"/>
                <w:szCs w:val="24"/>
              </w:rPr>
            </w:pPr>
            <w:r w:rsidRPr="003467AE">
              <w:rPr>
                <w:b/>
                <w:sz w:val="24"/>
                <w:szCs w:val="24"/>
              </w:rPr>
              <w:t>Contenidos del objeto de estudio y el concepto de complejidad</w:t>
            </w:r>
          </w:p>
        </w:tc>
      </w:tr>
      <w:tr w:rsidR="00763785" w:rsidTr="00763785">
        <w:trPr>
          <w:trHeight w:val="588"/>
        </w:trPr>
        <w:tc>
          <w:tcPr>
            <w:tcW w:w="3162" w:type="dxa"/>
          </w:tcPr>
          <w:p w:rsidR="00763785" w:rsidRDefault="00763785" w:rsidP="001114A8">
            <w:pPr>
              <w:jc w:val="both"/>
              <w:rPr>
                <w:sz w:val="24"/>
                <w:szCs w:val="24"/>
              </w:rPr>
            </w:pPr>
            <w:r w:rsidRPr="001114A8">
              <w:rPr>
                <w:sz w:val="24"/>
                <w:szCs w:val="24"/>
              </w:rPr>
              <w:t xml:space="preserve">Sexta semana </w:t>
            </w:r>
          </w:p>
          <w:p w:rsidR="00763785" w:rsidRPr="001114A8" w:rsidRDefault="00763785" w:rsidP="0081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763785" w:rsidRDefault="00763785" w:rsidP="0030118C">
            <w:pPr>
              <w:jc w:val="both"/>
            </w:pPr>
            <w:r>
              <w:t xml:space="preserve">Introducción a la epistemología de las ciencias de la salud </w:t>
            </w:r>
          </w:p>
        </w:tc>
      </w:tr>
      <w:tr w:rsidR="00763785" w:rsidTr="00763785">
        <w:trPr>
          <w:trHeight w:val="591"/>
        </w:trPr>
        <w:tc>
          <w:tcPr>
            <w:tcW w:w="3162" w:type="dxa"/>
          </w:tcPr>
          <w:p w:rsidR="00763785" w:rsidRDefault="00763785" w:rsidP="0045037D">
            <w:pPr>
              <w:jc w:val="both"/>
              <w:rPr>
                <w:sz w:val="24"/>
                <w:szCs w:val="24"/>
              </w:rPr>
            </w:pPr>
            <w:r w:rsidRPr="001114A8">
              <w:rPr>
                <w:sz w:val="24"/>
                <w:szCs w:val="24"/>
              </w:rPr>
              <w:t xml:space="preserve">Séptima semana </w:t>
            </w:r>
          </w:p>
          <w:p w:rsidR="00763785" w:rsidRPr="001114A8" w:rsidRDefault="00763785" w:rsidP="0081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763785" w:rsidRDefault="00763785" w:rsidP="0030118C">
            <w:pPr>
              <w:jc w:val="both"/>
            </w:pPr>
            <w:r>
              <w:t xml:space="preserve">Introducción a la epistemología de las ciencias de la salud </w:t>
            </w:r>
          </w:p>
        </w:tc>
      </w:tr>
      <w:tr w:rsidR="00763785" w:rsidTr="00763785">
        <w:trPr>
          <w:trHeight w:val="810"/>
        </w:trPr>
        <w:tc>
          <w:tcPr>
            <w:tcW w:w="3162" w:type="dxa"/>
          </w:tcPr>
          <w:p w:rsidR="00763785" w:rsidRDefault="00A7533B" w:rsidP="00C55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Octava semana</w:t>
            </w:r>
          </w:p>
          <w:p w:rsidR="00763785" w:rsidRPr="001114A8" w:rsidRDefault="00763785" w:rsidP="0081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763785" w:rsidRDefault="00763785" w:rsidP="0045037D">
            <w:pPr>
              <w:jc w:val="both"/>
            </w:pPr>
            <w:r>
              <w:t>La reproducción social  y las relaciones entre salud y condiciones de vida</w:t>
            </w:r>
          </w:p>
        </w:tc>
      </w:tr>
      <w:tr w:rsidR="00763785" w:rsidTr="00763785">
        <w:trPr>
          <w:trHeight w:val="810"/>
        </w:trPr>
        <w:tc>
          <w:tcPr>
            <w:tcW w:w="3162" w:type="dxa"/>
          </w:tcPr>
          <w:p w:rsidR="00763785" w:rsidRDefault="00A7533B" w:rsidP="0045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Novena</w:t>
            </w:r>
            <w:r w:rsidR="00763785">
              <w:rPr>
                <w:sz w:val="24"/>
                <w:szCs w:val="24"/>
              </w:rPr>
              <w:t xml:space="preserve"> semana </w:t>
            </w:r>
          </w:p>
          <w:p w:rsidR="00763785" w:rsidRPr="001114A8" w:rsidRDefault="00763785" w:rsidP="0081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763785" w:rsidRDefault="00763785" w:rsidP="0045037D">
            <w:pPr>
              <w:jc w:val="both"/>
            </w:pPr>
            <w:r>
              <w:t>La reproducción social  y las relaciones entre salud y condiciones de vida</w:t>
            </w:r>
          </w:p>
        </w:tc>
      </w:tr>
      <w:tr w:rsidR="00A7533B" w:rsidTr="00763785">
        <w:trPr>
          <w:trHeight w:val="810"/>
        </w:trPr>
        <w:tc>
          <w:tcPr>
            <w:tcW w:w="3162" w:type="dxa"/>
          </w:tcPr>
          <w:p w:rsidR="00A7533B" w:rsidRDefault="00A7533B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Décima semana </w:t>
            </w:r>
          </w:p>
        </w:tc>
        <w:tc>
          <w:tcPr>
            <w:tcW w:w="5175" w:type="dxa"/>
          </w:tcPr>
          <w:p w:rsidR="00A7533B" w:rsidRPr="00525615" w:rsidRDefault="0030118C" w:rsidP="0045037D">
            <w:pPr>
              <w:jc w:val="both"/>
              <w:rPr>
                <w:color w:val="00B0F0"/>
              </w:rPr>
            </w:pPr>
            <w:r>
              <w:t>Los problemas y las respuestas de salud surgen conjuntamente</w:t>
            </w:r>
            <w:r w:rsidR="00525615">
              <w:t xml:space="preserve">. </w:t>
            </w:r>
            <w:r w:rsidR="00525615" w:rsidRPr="00525615">
              <w:rPr>
                <w:color w:val="00B0F0"/>
              </w:rPr>
              <w:t>Parcial</w:t>
            </w:r>
          </w:p>
        </w:tc>
      </w:tr>
    </w:tbl>
    <w:p w:rsidR="00580E69" w:rsidRDefault="00580E69" w:rsidP="0045037D">
      <w:pPr>
        <w:jc w:val="both"/>
      </w:pPr>
    </w:p>
    <w:p w:rsidR="003440B9" w:rsidRPr="00F41D34" w:rsidRDefault="003440B9" w:rsidP="00F41D34">
      <w:pPr>
        <w:ind w:left="2835" w:hanging="2835"/>
        <w:jc w:val="both"/>
        <w:rPr>
          <w:rFonts w:ascii="Arial" w:hAnsi="Arial" w:cs="Arial"/>
          <w:sz w:val="24"/>
          <w:szCs w:val="24"/>
        </w:rPr>
      </w:pPr>
      <w:proofErr w:type="gramStart"/>
      <w:r w:rsidRPr="003440B9">
        <w:rPr>
          <w:rFonts w:ascii="Arial" w:hAnsi="Arial" w:cs="Arial"/>
          <w:sz w:val="24"/>
          <w:szCs w:val="24"/>
        </w:rPr>
        <w:t>3.c</w:t>
      </w:r>
      <w:proofErr w:type="gramEnd"/>
      <w:r w:rsidRPr="003440B9">
        <w:rPr>
          <w:rFonts w:ascii="Arial" w:hAnsi="Arial" w:cs="Arial"/>
          <w:sz w:val="24"/>
          <w:szCs w:val="24"/>
        </w:rPr>
        <w:t xml:space="preserve">. </w:t>
      </w:r>
      <w:r w:rsidRPr="003440B9">
        <w:rPr>
          <w:rFonts w:ascii="Arial" w:hAnsi="Arial" w:cs="Arial"/>
          <w:i/>
          <w:sz w:val="24"/>
          <w:szCs w:val="24"/>
        </w:rPr>
        <w:t xml:space="preserve">Tema 3. </w:t>
      </w:r>
      <w:r>
        <w:rPr>
          <w:rFonts w:ascii="Arial" w:hAnsi="Arial" w:cs="Arial"/>
          <w:i/>
          <w:sz w:val="24"/>
          <w:szCs w:val="24"/>
        </w:rPr>
        <w:t>Introducción de la Filosofía de la Medicina</w:t>
      </w:r>
      <w:r w:rsidR="0030118C">
        <w:rPr>
          <w:rFonts w:ascii="Arial" w:hAnsi="Arial" w:cs="Arial"/>
          <w:i/>
          <w:sz w:val="24"/>
          <w:szCs w:val="24"/>
        </w:rPr>
        <w:t xml:space="preserve"> y a su concepto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763785" w:rsidRPr="00F41D34">
        <w:rPr>
          <w:rFonts w:ascii="Arial" w:hAnsi="Arial" w:cs="Arial"/>
          <w:sz w:val="24"/>
          <w:szCs w:val="24"/>
        </w:rPr>
        <w:t>Analizar quiénes somos como profesionales, por qué la misión que tenemos y éste que tan aplicable es en las exigencias actuales de la transformación científica en la salud.</w:t>
      </w:r>
      <w:r w:rsidR="0030118C" w:rsidRPr="00F41D34">
        <w:rPr>
          <w:rFonts w:ascii="Arial" w:hAnsi="Arial" w:cs="Arial"/>
          <w:sz w:val="24"/>
          <w:szCs w:val="24"/>
        </w:rPr>
        <w:t xml:space="preserve"> </w:t>
      </w:r>
      <w:r w:rsidRPr="00F41D34">
        <w:rPr>
          <w:rFonts w:ascii="Arial" w:hAnsi="Arial" w:cs="Arial"/>
          <w:sz w:val="24"/>
          <w:szCs w:val="24"/>
        </w:rPr>
        <w:t xml:space="preserve">Comprender filosóficamente las limitaciones de la medicina, es rescatar el valor del objeto de la salud y la necesidad del programa de acuerdo a las limitaciones comprendidas. </w:t>
      </w:r>
    </w:p>
    <w:p w:rsidR="0030118C" w:rsidRDefault="0030118C" w:rsidP="003440B9">
      <w:pPr>
        <w:ind w:left="4253" w:hanging="4253"/>
        <w:jc w:val="both"/>
        <w:rPr>
          <w:rFonts w:ascii="Arial" w:hAnsi="Arial" w:cs="Arial"/>
          <w:sz w:val="24"/>
          <w:szCs w:val="24"/>
        </w:rPr>
      </w:pPr>
    </w:p>
    <w:p w:rsidR="00F41D34" w:rsidRDefault="00F41D34" w:rsidP="003440B9">
      <w:pPr>
        <w:ind w:left="4253" w:hanging="4253"/>
        <w:jc w:val="both"/>
        <w:rPr>
          <w:rFonts w:ascii="Arial" w:hAnsi="Arial" w:cs="Arial"/>
          <w:sz w:val="24"/>
          <w:szCs w:val="24"/>
        </w:rPr>
      </w:pPr>
    </w:p>
    <w:p w:rsidR="00F41D34" w:rsidRDefault="00F41D34" w:rsidP="003440B9">
      <w:pPr>
        <w:ind w:left="4253" w:hanging="4253"/>
        <w:jc w:val="both"/>
        <w:rPr>
          <w:rFonts w:ascii="Arial" w:hAnsi="Arial" w:cs="Arial"/>
          <w:sz w:val="24"/>
          <w:szCs w:val="24"/>
        </w:rPr>
      </w:pPr>
    </w:p>
    <w:p w:rsidR="0030118C" w:rsidRPr="003440B9" w:rsidRDefault="0030118C" w:rsidP="003440B9">
      <w:pPr>
        <w:ind w:left="4253" w:hanging="4253"/>
        <w:jc w:val="both"/>
        <w:rPr>
          <w:rFonts w:ascii="Arial" w:hAnsi="Arial" w:cs="Arial"/>
          <w:sz w:val="24"/>
          <w:szCs w:val="24"/>
        </w:rPr>
      </w:pPr>
    </w:p>
    <w:p w:rsidR="0045037D" w:rsidRDefault="003440B9" w:rsidP="00450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2"/>
        <w:gridCol w:w="5221"/>
      </w:tblGrid>
      <w:tr w:rsidR="007C4034" w:rsidTr="007C4034">
        <w:trPr>
          <w:trHeight w:val="534"/>
        </w:trPr>
        <w:tc>
          <w:tcPr>
            <w:tcW w:w="3772" w:type="dxa"/>
          </w:tcPr>
          <w:p w:rsidR="007C4034" w:rsidRDefault="007C4034" w:rsidP="00301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Octubre/Noviembre</w:t>
            </w:r>
          </w:p>
        </w:tc>
        <w:tc>
          <w:tcPr>
            <w:tcW w:w="5221" w:type="dxa"/>
          </w:tcPr>
          <w:p w:rsidR="007C4034" w:rsidRDefault="007C4034" w:rsidP="00346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Contenidos de Introducción de la Filosofía de la Medicina</w:t>
            </w:r>
          </w:p>
        </w:tc>
      </w:tr>
      <w:tr w:rsidR="007C4034" w:rsidTr="007C4034">
        <w:trPr>
          <w:trHeight w:val="530"/>
        </w:trPr>
        <w:tc>
          <w:tcPr>
            <w:tcW w:w="3772" w:type="dxa"/>
          </w:tcPr>
          <w:p w:rsidR="007C4034" w:rsidRDefault="007C4034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Undécima semana </w:t>
            </w:r>
          </w:p>
        </w:tc>
        <w:tc>
          <w:tcPr>
            <w:tcW w:w="5221" w:type="dxa"/>
          </w:tcPr>
          <w:p w:rsidR="007C4034" w:rsidRPr="00E41542" w:rsidRDefault="007C4034" w:rsidP="004503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peonza y la vida. Acercamiento a la obra de Georges Canguilhem. Filosofía y medicina</w:t>
            </w:r>
          </w:p>
        </w:tc>
      </w:tr>
      <w:tr w:rsidR="007C4034" w:rsidTr="007C4034">
        <w:trPr>
          <w:trHeight w:val="534"/>
        </w:trPr>
        <w:tc>
          <w:tcPr>
            <w:tcW w:w="3772" w:type="dxa"/>
          </w:tcPr>
          <w:p w:rsidR="007C4034" w:rsidRDefault="007C4034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Duodécima semana </w:t>
            </w:r>
          </w:p>
        </w:tc>
        <w:tc>
          <w:tcPr>
            <w:tcW w:w="5221" w:type="dxa"/>
          </w:tcPr>
          <w:p w:rsidR="007C4034" w:rsidRPr="00E41542" w:rsidRDefault="007C4034" w:rsidP="004503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concepto, la vida y lo posible</w:t>
            </w:r>
          </w:p>
        </w:tc>
      </w:tr>
      <w:tr w:rsidR="007C4034" w:rsidTr="007C4034">
        <w:trPr>
          <w:trHeight w:val="524"/>
        </w:trPr>
        <w:tc>
          <w:tcPr>
            <w:tcW w:w="3772" w:type="dxa"/>
          </w:tcPr>
          <w:p w:rsidR="007C4034" w:rsidRDefault="007C4034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Trigésima semana </w:t>
            </w:r>
          </w:p>
        </w:tc>
        <w:tc>
          <w:tcPr>
            <w:tcW w:w="5221" w:type="dxa"/>
          </w:tcPr>
          <w:p w:rsidR="007C4034" w:rsidRPr="00E41542" w:rsidRDefault="007C4034" w:rsidP="004503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concepto, la vida y lo posible</w:t>
            </w:r>
          </w:p>
        </w:tc>
      </w:tr>
      <w:tr w:rsidR="007C4034" w:rsidTr="007C4034">
        <w:trPr>
          <w:trHeight w:val="534"/>
        </w:trPr>
        <w:tc>
          <w:tcPr>
            <w:tcW w:w="3772" w:type="dxa"/>
          </w:tcPr>
          <w:p w:rsidR="007C4034" w:rsidRDefault="007C4034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Cuadragésima semana </w:t>
            </w:r>
          </w:p>
        </w:tc>
        <w:tc>
          <w:tcPr>
            <w:tcW w:w="5221" w:type="dxa"/>
          </w:tcPr>
          <w:p w:rsidR="007C4034" w:rsidRPr="00BD7DD5" w:rsidRDefault="007C4034" w:rsidP="004503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modelo mecánico</w:t>
            </w:r>
          </w:p>
        </w:tc>
      </w:tr>
      <w:tr w:rsidR="007C4034" w:rsidTr="007C4034">
        <w:trPr>
          <w:trHeight w:val="775"/>
        </w:trPr>
        <w:tc>
          <w:tcPr>
            <w:tcW w:w="3772" w:type="dxa"/>
          </w:tcPr>
          <w:p w:rsidR="007C4034" w:rsidRDefault="007C4034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Quincuagésima semana </w:t>
            </w:r>
          </w:p>
        </w:tc>
        <w:tc>
          <w:tcPr>
            <w:tcW w:w="5221" w:type="dxa"/>
          </w:tcPr>
          <w:p w:rsidR="007C4034" w:rsidRPr="00BD7DD5" w:rsidRDefault="007C4034" w:rsidP="00681639">
            <w:pPr>
              <w:jc w:val="both"/>
              <w:rPr>
                <w:rFonts w:cstheme="minorHAnsi"/>
              </w:rPr>
            </w:pPr>
            <w:r w:rsidRPr="00BD7DD5">
              <w:rPr>
                <w:rFonts w:cstheme="minorHAnsi"/>
              </w:rPr>
              <w:t>Hermenéutica: la naturaleza del hombre desde una perspectiva más amplia</w:t>
            </w:r>
            <w:r>
              <w:rPr>
                <w:rFonts w:cstheme="minorHAnsi"/>
              </w:rPr>
              <w:t xml:space="preserve"> </w:t>
            </w:r>
          </w:p>
        </w:tc>
      </w:tr>
      <w:tr w:rsidR="007C4034" w:rsidTr="007C4034">
        <w:trPr>
          <w:trHeight w:val="561"/>
        </w:trPr>
        <w:tc>
          <w:tcPr>
            <w:tcW w:w="3772" w:type="dxa"/>
          </w:tcPr>
          <w:p w:rsidR="007C4034" w:rsidRDefault="007C4034" w:rsidP="00E404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Sexagésima semana </w:t>
            </w:r>
          </w:p>
        </w:tc>
        <w:tc>
          <w:tcPr>
            <w:tcW w:w="5221" w:type="dxa"/>
          </w:tcPr>
          <w:p w:rsidR="007C4034" w:rsidRDefault="007C4034" w:rsidP="004503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Mente y cuerpo</w:t>
            </w:r>
          </w:p>
          <w:p w:rsidR="007C4034" w:rsidRDefault="007C4034" w:rsidP="0045037D">
            <w:pPr>
              <w:jc w:val="both"/>
              <w:rPr>
                <w:rFonts w:cstheme="minorHAnsi"/>
              </w:rPr>
            </w:pPr>
          </w:p>
        </w:tc>
      </w:tr>
    </w:tbl>
    <w:p w:rsidR="003440B9" w:rsidRPr="0045037D" w:rsidRDefault="003440B9" w:rsidP="004503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37D" w:rsidRDefault="00A80D2F" w:rsidP="0045037D">
      <w:pPr>
        <w:rPr>
          <w:rFonts w:ascii="Arial" w:hAnsi="Arial" w:cs="Arial"/>
          <w:b/>
          <w:sz w:val="24"/>
          <w:szCs w:val="24"/>
        </w:rPr>
      </w:pPr>
      <w:r w:rsidRPr="00A80D2F">
        <w:rPr>
          <w:rFonts w:ascii="Arial" w:hAnsi="Arial" w:cs="Arial"/>
          <w:b/>
          <w:sz w:val="24"/>
          <w:szCs w:val="24"/>
        </w:rPr>
        <w:t>4. Metodología</w:t>
      </w:r>
    </w:p>
    <w:p w:rsidR="00A80D2F" w:rsidRPr="00F41D34" w:rsidRDefault="00A80D2F" w:rsidP="00A80D2F">
      <w:pPr>
        <w:jc w:val="both"/>
        <w:rPr>
          <w:rFonts w:ascii="Arial" w:hAnsi="Arial" w:cs="Arial"/>
          <w:sz w:val="24"/>
          <w:szCs w:val="24"/>
        </w:rPr>
      </w:pPr>
      <w:r w:rsidRPr="00F41D34">
        <w:rPr>
          <w:rFonts w:ascii="Arial" w:hAnsi="Arial" w:cs="Arial"/>
          <w:sz w:val="24"/>
          <w:szCs w:val="24"/>
        </w:rPr>
        <w:t xml:space="preserve">Es importante que los y las estudiantes hagan las lecturas previas para la evolución de las clases, puesto que la idea es experimentar en discusiones analíticas los problemas gnoseológicos y epistémicos del programa, de lo contrario, sólo pasará a ser una clase magistral en el que se absorberán los contenidos. Estos servirán para comprender los conceptos necesarios para la realización del trabajo final y los parciales. </w:t>
      </w:r>
    </w:p>
    <w:p w:rsidR="00A80D2F" w:rsidRPr="00FC1A58" w:rsidRDefault="00A80D2F" w:rsidP="00A80D2F">
      <w:pPr>
        <w:jc w:val="both"/>
        <w:rPr>
          <w:rFonts w:ascii="Arial" w:hAnsi="Arial" w:cs="Arial"/>
          <w:b/>
        </w:rPr>
      </w:pPr>
      <w:r w:rsidRPr="00FC1A58">
        <w:rPr>
          <w:rFonts w:ascii="Arial" w:hAnsi="Arial" w:cs="Arial"/>
          <w:b/>
        </w:rPr>
        <w:t>5. Evaluación</w:t>
      </w:r>
      <w:r w:rsidR="00FC1A58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1134"/>
      </w:tblGrid>
      <w:tr w:rsidR="00A80D2F" w:rsidTr="00CE7F3F">
        <w:tc>
          <w:tcPr>
            <w:tcW w:w="2410" w:type="dxa"/>
            <w:gridSpan w:val="2"/>
          </w:tcPr>
          <w:p w:rsidR="00A80D2F" w:rsidRDefault="00A80D2F" w:rsidP="00CE7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Parciales</w:t>
            </w:r>
          </w:p>
        </w:tc>
      </w:tr>
      <w:tr w:rsidR="00A80D2F" w:rsidTr="00CE7F3F">
        <w:tc>
          <w:tcPr>
            <w:tcW w:w="1276" w:type="dxa"/>
          </w:tcPr>
          <w:p w:rsidR="00A80D2F" w:rsidRPr="00A83E61" w:rsidRDefault="00A80D2F" w:rsidP="00CE7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E61">
              <w:rPr>
                <w:rFonts w:ascii="Arial" w:hAnsi="Arial" w:cs="Arial"/>
                <w:sz w:val="20"/>
                <w:szCs w:val="20"/>
              </w:rPr>
              <w:t>Parcial 1</w:t>
            </w:r>
          </w:p>
        </w:tc>
        <w:tc>
          <w:tcPr>
            <w:tcW w:w="1134" w:type="dxa"/>
          </w:tcPr>
          <w:p w:rsidR="00A80D2F" w:rsidRPr="00A83E61" w:rsidRDefault="00817739" w:rsidP="00CE7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C403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80D2F" w:rsidTr="00CE7F3F">
        <w:tc>
          <w:tcPr>
            <w:tcW w:w="1276" w:type="dxa"/>
          </w:tcPr>
          <w:p w:rsidR="00A80D2F" w:rsidRPr="00A83E61" w:rsidRDefault="00A80D2F" w:rsidP="00CE7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E61">
              <w:rPr>
                <w:rFonts w:ascii="Arial" w:hAnsi="Arial" w:cs="Arial"/>
                <w:sz w:val="20"/>
                <w:szCs w:val="20"/>
              </w:rPr>
              <w:t>Parcial 2</w:t>
            </w:r>
          </w:p>
        </w:tc>
        <w:tc>
          <w:tcPr>
            <w:tcW w:w="1134" w:type="dxa"/>
          </w:tcPr>
          <w:p w:rsidR="00A80D2F" w:rsidRPr="00A83E61" w:rsidRDefault="00817739" w:rsidP="00CE7F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80D2F" w:rsidRPr="00A83E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80D2F" w:rsidTr="00CE7F3F">
        <w:tc>
          <w:tcPr>
            <w:tcW w:w="1276" w:type="dxa"/>
          </w:tcPr>
          <w:p w:rsidR="00A80D2F" w:rsidRPr="00817739" w:rsidRDefault="007C4034" w:rsidP="00CE7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739">
              <w:rPr>
                <w:rFonts w:ascii="Arial" w:hAnsi="Arial" w:cs="Arial"/>
                <w:sz w:val="20"/>
                <w:szCs w:val="20"/>
              </w:rPr>
              <w:t>Examen Final</w:t>
            </w:r>
          </w:p>
        </w:tc>
        <w:tc>
          <w:tcPr>
            <w:tcW w:w="1134" w:type="dxa"/>
          </w:tcPr>
          <w:p w:rsidR="00A80D2F" w:rsidRPr="00817739" w:rsidRDefault="007C4034" w:rsidP="00817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39">
              <w:rPr>
                <w:rFonts w:ascii="Arial" w:hAnsi="Arial" w:cs="Arial"/>
                <w:sz w:val="20"/>
                <w:szCs w:val="20"/>
              </w:rPr>
              <w:t>2</w:t>
            </w:r>
            <w:r w:rsidR="00817739">
              <w:rPr>
                <w:rFonts w:ascii="Arial" w:hAnsi="Arial" w:cs="Arial"/>
                <w:sz w:val="20"/>
                <w:szCs w:val="20"/>
              </w:rPr>
              <w:t>0</w:t>
            </w:r>
            <w:r w:rsidRPr="008177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80D2F" w:rsidTr="00CE7F3F">
        <w:tc>
          <w:tcPr>
            <w:tcW w:w="1276" w:type="dxa"/>
          </w:tcPr>
          <w:p w:rsidR="00A80D2F" w:rsidRPr="00A83E61" w:rsidRDefault="00A80D2F" w:rsidP="00CE7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E6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A80D2F" w:rsidRPr="00A83E61" w:rsidRDefault="00817739" w:rsidP="00CE7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A80D2F" w:rsidRPr="00A83E6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tbl>
      <w:tblPr>
        <w:tblStyle w:val="Tablaconcuadrcul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376"/>
        <w:gridCol w:w="1134"/>
      </w:tblGrid>
      <w:tr w:rsidR="005A2DE1" w:rsidTr="005A2DE1">
        <w:tc>
          <w:tcPr>
            <w:tcW w:w="2510" w:type="dxa"/>
            <w:gridSpan w:val="2"/>
          </w:tcPr>
          <w:p w:rsidR="005A2DE1" w:rsidRPr="008D2811" w:rsidRDefault="00817739" w:rsidP="005A2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</w:t>
            </w:r>
          </w:p>
        </w:tc>
      </w:tr>
      <w:tr w:rsidR="005A2DE1" w:rsidTr="005A2DE1">
        <w:tc>
          <w:tcPr>
            <w:tcW w:w="1376" w:type="dxa"/>
          </w:tcPr>
          <w:p w:rsidR="005A2DE1" w:rsidRDefault="00817739" w:rsidP="005A2DE1">
            <w:pPr>
              <w:rPr>
                <w:rFonts w:cstheme="minorHAnsi"/>
              </w:rPr>
            </w:pPr>
            <w:r>
              <w:rPr>
                <w:rFonts w:cstheme="minorHAnsi"/>
              </w:rPr>
              <w:t>Tema 1</w:t>
            </w:r>
          </w:p>
        </w:tc>
        <w:tc>
          <w:tcPr>
            <w:tcW w:w="1134" w:type="dxa"/>
          </w:tcPr>
          <w:p w:rsidR="005A2DE1" w:rsidRDefault="00817739" w:rsidP="008177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A2DE1">
              <w:rPr>
                <w:rFonts w:cstheme="minorHAnsi"/>
              </w:rPr>
              <w:t>%</w:t>
            </w:r>
          </w:p>
        </w:tc>
      </w:tr>
      <w:tr w:rsidR="005A2DE1" w:rsidTr="005A2DE1">
        <w:tc>
          <w:tcPr>
            <w:tcW w:w="1376" w:type="dxa"/>
          </w:tcPr>
          <w:p w:rsidR="005A2DE1" w:rsidRDefault="00817739" w:rsidP="005A2DE1">
            <w:pPr>
              <w:rPr>
                <w:rFonts w:cstheme="minorHAnsi"/>
              </w:rPr>
            </w:pPr>
            <w:r>
              <w:rPr>
                <w:rFonts w:cstheme="minorHAnsi"/>
              </w:rPr>
              <w:t>Tema 2</w:t>
            </w:r>
          </w:p>
        </w:tc>
        <w:tc>
          <w:tcPr>
            <w:tcW w:w="1134" w:type="dxa"/>
          </w:tcPr>
          <w:p w:rsidR="005A2DE1" w:rsidRDefault="00817739" w:rsidP="008177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A2DE1">
              <w:rPr>
                <w:rFonts w:cstheme="minorHAnsi"/>
              </w:rPr>
              <w:t>%</w:t>
            </w:r>
          </w:p>
        </w:tc>
      </w:tr>
      <w:tr w:rsidR="005A2DE1" w:rsidTr="005A2DE1">
        <w:tc>
          <w:tcPr>
            <w:tcW w:w="1376" w:type="dxa"/>
          </w:tcPr>
          <w:p w:rsidR="005A2DE1" w:rsidRDefault="00817739" w:rsidP="005A2DE1">
            <w:pPr>
              <w:rPr>
                <w:rFonts w:cstheme="minorHAnsi"/>
              </w:rPr>
            </w:pPr>
            <w:r>
              <w:rPr>
                <w:rFonts w:cstheme="minorHAnsi"/>
              </w:rPr>
              <w:t>Tema 3</w:t>
            </w:r>
          </w:p>
        </w:tc>
        <w:tc>
          <w:tcPr>
            <w:tcW w:w="1134" w:type="dxa"/>
          </w:tcPr>
          <w:p w:rsidR="005A2DE1" w:rsidRPr="000B44E4" w:rsidRDefault="005A2DE1" w:rsidP="00817739">
            <w:pPr>
              <w:jc w:val="center"/>
              <w:rPr>
                <w:rFonts w:cstheme="minorHAnsi"/>
                <w:b/>
              </w:rPr>
            </w:pPr>
            <w:r w:rsidRPr="00817739">
              <w:rPr>
                <w:rFonts w:cstheme="minorHAnsi"/>
              </w:rPr>
              <w:t>1</w:t>
            </w:r>
            <w:r w:rsidR="00817739">
              <w:rPr>
                <w:rFonts w:cstheme="minorHAnsi"/>
              </w:rPr>
              <w:t>0</w:t>
            </w:r>
            <w:r w:rsidRPr="000B44E4">
              <w:rPr>
                <w:rFonts w:cstheme="minorHAnsi"/>
                <w:b/>
              </w:rPr>
              <w:t>%</w:t>
            </w:r>
          </w:p>
        </w:tc>
      </w:tr>
      <w:tr w:rsidR="00817739" w:rsidTr="005A2DE1">
        <w:tc>
          <w:tcPr>
            <w:tcW w:w="1376" w:type="dxa"/>
          </w:tcPr>
          <w:p w:rsidR="00817739" w:rsidRPr="00817739" w:rsidRDefault="00817739" w:rsidP="005A2DE1">
            <w:pPr>
              <w:rPr>
                <w:rFonts w:cstheme="minorHAnsi"/>
                <w:b/>
              </w:rPr>
            </w:pPr>
            <w:r w:rsidRPr="00817739">
              <w:rPr>
                <w:rFonts w:cstheme="minorHAnsi"/>
                <w:b/>
              </w:rPr>
              <w:t>Total</w:t>
            </w:r>
          </w:p>
        </w:tc>
        <w:tc>
          <w:tcPr>
            <w:tcW w:w="1134" w:type="dxa"/>
          </w:tcPr>
          <w:p w:rsidR="00817739" w:rsidRPr="00817739" w:rsidRDefault="00817739" w:rsidP="00817739">
            <w:pPr>
              <w:jc w:val="center"/>
              <w:rPr>
                <w:rFonts w:cstheme="minorHAnsi"/>
                <w:b/>
              </w:rPr>
            </w:pPr>
            <w:r w:rsidRPr="00817739">
              <w:rPr>
                <w:rFonts w:cstheme="minorHAnsi"/>
                <w:b/>
              </w:rPr>
              <w:t>30%</w:t>
            </w:r>
          </w:p>
        </w:tc>
      </w:tr>
    </w:tbl>
    <w:tbl>
      <w:tblPr>
        <w:tblStyle w:val="Tablaconcuadrcula"/>
        <w:tblpPr w:leftFromText="141" w:rightFromText="141" w:vertAnchor="text" w:horzAnchor="page" w:tblpX="5314" w:tblpY="105"/>
        <w:tblW w:w="0" w:type="auto"/>
        <w:tblLook w:val="04A0" w:firstRow="1" w:lastRow="0" w:firstColumn="1" w:lastColumn="0" w:noHBand="0" w:noVBand="1"/>
      </w:tblPr>
      <w:tblGrid>
        <w:gridCol w:w="2410"/>
      </w:tblGrid>
      <w:tr w:rsidR="00817739" w:rsidTr="00817739">
        <w:tc>
          <w:tcPr>
            <w:tcW w:w="2410" w:type="dxa"/>
          </w:tcPr>
          <w:p w:rsidR="00817739" w:rsidRDefault="00817739" w:rsidP="00817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final</w:t>
            </w:r>
          </w:p>
        </w:tc>
      </w:tr>
      <w:tr w:rsidR="00817739" w:rsidTr="00817739">
        <w:trPr>
          <w:trHeight w:val="273"/>
        </w:trPr>
        <w:tc>
          <w:tcPr>
            <w:tcW w:w="2410" w:type="dxa"/>
          </w:tcPr>
          <w:p w:rsidR="00817739" w:rsidRPr="00A83E61" w:rsidRDefault="00817739" w:rsidP="00817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E61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</w:tbl>
    <w:p w:rsidR="00A80D2F" w:rsidRDefault="00A80D2F" w:rsidP="00A80D2F">
      <w:pPr>
        <w:jc w:val="both"/>
        <w:rPr>
          <w:rFonts w:cstheme="minorHAnsi"/>
        </w:rPr>
      </w:pPr>
    </w:p>
    <w:p w:rsidR="00FC1A58" w:rsidRDefault="00FC1A58" w:rsidP="00A80D2F">
      <w:pPr>
        <w:jc w:val="both"/>
        <w:rPr>
          <w:rFonts w:cstheme="minorHAnsi"/>
        </w:rPr>
      </w:pPr>
    </w:p>
    <w:p w:rsidR="00FC1A58" w:rsidRDefault="00FC1A58" w:rsidP="00FC1A58">
      <w:pPr>
        <w:rPr>
          <w:rFonts w:cstheme="minorHAnsi"/>
        </w:rPr>
      </w:pPr>
    </w:p>
    <w:p w:rsidR="00817739" w:rsidRDefault="00817739" w:rsidP="008D2811">
      <w:pPr>
        <w:rPr>
          <w:rFonts w:ascii="Arial" w:hAnsi="Arial" w:cs="Arial"/>
          <w:b/>
          <w:sz w:val="24"/>
          <w:szCs w:val="24"/>
        </w:rPr>
      </w:pPr>
    </w:p>
    <w:p w:rsidR="0002538F" w:rsidRDefault="008D2811" w:rsidP="008D2811">
      <w:pPr>
        <w:rPr>
          <w:rFonts w:ascii="Arial" w:hAnsi="Arial" w:cs="Arial"/>
          <w:b/>
          <w:sz w:val="24"/>
          <w:szCs w:val="24"/>
        </w:rPr>
      </w:pPr>
      <w:r w:rsidRPr="008D2811">
        <w:rPr>
          <w:rFonts w:ascii="Arial" w:hAnsi="Arial" w:cs="Arial"/>
          <w:b/>
          <w:sz w:val="24"/>
          <w:szCs w:val="24"/>
        </w:rPr>
        <w:t>6. Bibliografía</w:t>
      </w:r>
    </w:p>
    <w:p w:rsidR="007C5940" w:rsidRDefault="007C5940" w:rsidP="008D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BALANGUÉ </w:t>
      </w:r>
      <w:proofErr w:type="spellStart"/>
      <w:r>
        <w:rPr>
          <w:rFonts w:ascii="Arial" w:hAnsi="Arial" w:cs="Arial"/>
          <w:sz w:val="24"/>
          <w:szCs w:val="24"/>
        </w:rPr>
        <w:t>Serre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Natália</w:t>
      </w:r>
      <w:proofErr w:type="spellEnd"/>
      <w:r>
        <w:rPr>
          <w:rFonts w:ascii="Arial" w:hAnsi="Arial" w:cs="Arial"/>
          <w:sz w:val="24"/>
          <w:szCs w:val="24"/>
        </w:rPr>
        <w:t>. TORRENTS Martín Carlota. Complejidad y Deporte. Barcelona: INDE Publicaciones. 2011</w:t>
      </w:r>
    </w:p>
    <w:p w:rsidR="007C5940" w:rsidRDefault="007C5940" w:rsidP="008D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CHALMERS, Alan. ¿Qué es esa cosa llamada ciencia? Argentina: editorial siglo XXI. 1988</w:t>
      </w:r>
    </w:p>
    <w:p w:rsidR="007C5940" w:rsidRDefault="007C5940" w:rsidP="007C5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HERRERA, José Darío. Reflexiones epistemológicas de las ciencias sociales. Para doctorado de Ciencias Sociales. CINDE</w:t>
      </w:r>
      <w:r w:rsidR="0036354E">
        <w:rPr>
          <w:rFonts w:ascii="Arial" w:hAnsi="Arial" w:cs="Arial"/>
          <w:sz w:val="24"/>
          <w:szCs w:val="24"/>
        </w:rPr>
        <w:t>. 2012</w:t>
      </w:r>
    </w:p>
    <w:p w:rsidR="007C5940" w:rsidRDefault="007C5940" w:rsidP="008D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VARGAS O, Carlos Eduardo. El Deporte como Objeto de Estudio. Colombia: Talleres Gráfico de Impresora </w:t>
      </w:r>
      <w:proofErr w:type="spellStart"/>
      <w:r>
        <w:rPr>
          <w:rFonts w:ascii="Arial" w:hAnsi="Arial" w:cs="Arial"/>
          <w:sz w:val="24"/>
          <w:szCs w:val="24"/>
        </w:rPr>
        <w:t>Feriva</w:t>
      </w:r>
      <w:proofErr w:type="spellEnd"/>
      <w:r>
        <w:rPr>
          <w:rFonts w:ascii="Arial" w:hAnsi="Arial" w:cs="Arial"/>
          <w:sz w:val="24"/>
          <w:szCs w:val="24"/>
        </w:rPr>
        <w:t>. 1994</w:t>
      </w:r>
    </w:p>
    <w:p w:rsidR="007C5940" w:rsidRPr="008D2811" w:rsidRDefault="00BB4CC9" w:rsidP="008D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WULFF, </w:t>
      </w:r>
      <w:proofErr w:type="spellStart"/>
      <w:r>
        <w:rPr>
          <w:rFonts w:ascii="Arial" w:hAnsi="Arial" w:cs="Arial"/>
          <w:sz w:val="24"/>
          <w:szCs w:val="24"/>
        </w:rPr>
        <w:t>Henrik</w:t>
      </w:r>
      <w:proofErr w:type="spellEnd"/>
      <w:r>
        <w:rPr>
          <w:rFonts w:ascii="Arial" w:hAnsi="Arial" w:cs="Arial"/>
          <w:sz w:val="24"/>
          <w:szCs w:val="24"/>
        </w:rPr>
        <w:t xml:space="preserve">. PETERSEN, </w:t>
      </w:r>
      <w:proofErr w:type="spellStart"/>
      <w:r>
        <w:rPr>
          <w:rFonts w:ascii="Arial" w:hAnsi="Arial" w:cs="Arial"/>
          <w:sz w:val="24"/>
          <w:szCs w:val="24"/>
        </w:rPr>
        <w:t>Stig</w:t>
      </w:r>
      <w:proofErr w:type="spellEnd"/>
      <w:r>
        <w:rPr>
          <w:rFonts w:ascii="Arial" w:hAnsi="Arial" w:cs="Arial"/>
          <w:sz w:val="24"/>
          <w:szCs w:val="24"/>
        </w:rPr>
        <w:t xml:space="preserve"> A. ROSENBERG </w:t>
      </w:r>
      <w:proofErr w:type="spellStart"/>
      <w:r>
        <w:rPr>
          <w:rFonts w:ascii="Arial" w:hAnsi="Arial" w:cs="Arial"/>
          <w:sz w:val="24"/>
          <w:szCs w:val="24"/>
        </w:rPr>
        <w:t>Raben</w:t>
      </w:r>
      <w:proofErr w:type="spellEnd"/>
      <w:r>
        <w:rPr>
          <w:rFonts w:ascii="Arial" w:hAnsi="Arial" w:cs="Arial"/>
          <w:sz w:val="24"/>
          <w:szCs w:val="24"/>
        </w:rPr>
        <w:t xml:space="preserve">. Introducción a la Medicina. Madrid: </w:t>
      </w:r>
      <w:proofErr w:type="spellStart"/>
      <w:r>
        <w:rPr>
          <w:rFonts w:ascii="Arial" w:hAnsi="Arial" w:cs="Arial"/>
          <w:sz w:val="24"/>
          <w:szCs w:val="24"/>
        </w:rPr>
        <w:t>Triacastela</w:t>
      </w:r>
      <w:proofErr w:type="spellEnd"/>
      <w:r>
        <w:rPr>
          <w:rFonts w:ascii="Arial" w:hAnsi="Arial" w:cs="Arial"/>
          <w:sz w:val="24"/>
          <w:szCs w:val="24"/>
        </w:rPr>
        <w:t>. 2002</w:t>
      </w:r>
    </w:p>
    <w:sectPr w:rsidR="007C5940" w:rsidRPr="008D2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CCC"/>
    <w:multiLevelType w:val="hybridMultilevel"/>
    <w:tmpl w:val="4712FB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6612"/>
    <w:multiLevelType w:val="hybridMultilevel"/>
    <w:tmpl w:val="61A2D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7D"/>
    <w:rsid w:val="00012920"/>
    <w:rsid w:val="0002538F"/>
    <w:rsid w:val="00090760"/>
    <w:rsid w:val="000B44E4"/>
    <w:rsid w:val="001114A8"/>
    <w:rsid w:val="00133CFA"/>
    <w:rsid w:val="00135D70"/>
    <w:rsid w:val="001D306E"/>
    <w:rsid w:val="0030118C"/>
    <w:rsid w:val="003440B9"/>
    <w:rsid w:val="003467AE"/>
    <w:rsid w:val="0036354E"/>
    <w:rsid w:val="00366B20"/>
    <w:rsid w:val="0045037D"/>
    <w:rsid w:val="004A2315"/>
    <w:rsid w:val="00525615"/>
    <w:rsid w:val="00580E69"/>
    <w:rsid w:val="005A2DE1"/>
    <w:rsid w:val="005F35C7"/>
    <w:rsid w:val="005F3695"/>
    <w:rsid w:val="00641E6E"/>
    <w:rsid w:val="00681639"/>
    <w:rsid w:val="006D2A78"/>
    <w:rsid w:val="00702A71"/>
    <w:rsid w:val="00763785"/>
    <w:rsid w:val="007A094E"/>
    <w:rsid w:val="007C4034"/>
    <w:rsid w:val="007C5940"/>
    <w:rsid w:val="00810039"/>
    <w:rsid w:val="00817739"/>
    <w:rsid w:val="008D2811"/>
    <w:rsid w:val="008E167D"/>
    <w:rsid w:val="009C7D8C"/>
    <w:rsid w:val="009D6F12"/>
    <w:rsid w:val="00A7533B"/>
    <w:rsid w:val="00A80D2F"/>
    <w:rsid w:val="00AD361C"/>
    <w:rsid w:val="00AE3AF5"/>
    <w:rsid w:val="00B74294"/>
    <w:rsid w:val="00BB4CC9"/>
    <w:rsid w:val="00BD7DD5"/>
    <w:rsid w:val="00C5538C"/>
    <w:rsid w:val="00CE12AF"/>
    <w:rsid w:val="00D40E47"/>
    <w:rsid w:val="00D51C1E"/>
    <w:rsid w:val="00E07BD5"/>
    <w:rsid w:val="00E404C2"/>
    <w:rsid w:val="00E41542"/>
    <w:rsid w:val="00E86BB8"/>
    <w:rsid w:val="00F41D34"/>
    <w:rsid w:val="00FC1A58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41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5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5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5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41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5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5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5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2014-01-27T16:13:00Z</dcterms:created>
  <dcterms:modified xsi:type="dcterms:W3CDTF">2014-02-21T13:12:00Z</dcterms:modified>
</cp:coreProperties>
</file>